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黑体" w:hAnsi="黑体" w:eastAsia="黑体"/>
          <w:color w:val="auto"/>
          <w:sz w:val="44"/>
          <w:szCs w:val="44"/>
        </w:rPr>
      </w:pPr>
    </w:p>
    <w:p>
      <w:pPr>
        <w:spacing w:line="520" w:lineRule="atLeast"/>
        <w:ind w:firstLine="424" w:firstLineChars="96"/>
        <w:jc w:val="center"/>
        <w:rPr>
          <w:rFonts w:ascii="黑体" w:hAnsi="黑体" w:eastAsia="黑体" w:cs="黑体"/>
          <w:b/>
          <w:color w:val="auto"/>
          <w:sz w:val="44"/>
          <w:szCs w:val="44"/>
        </w:rPr>
      </w:pPr>
    </w:p>
    <w:p>
      <w:pPr>
        <w:spacing w:line="520" w:lineRule="atLeast"/>
        <w:ind w:firstLine="424" w:firstLineChars="96"/>
        <w:jc w:val="center"/>
        <w:rPr>
          <w:rFonts w:ascii="黑体" w:hAnsi="黑体" w:eastAsia="黑体" w:cs="黑体"/>
          <w:b/>
          <w:color w:val="auto"/>
          <w:sz w:val="44"/>
          <w:szCs w:val="44"/>
        </w:rPr>
      </w:pPr>
    </w:p>
    <w:p>
      <w:pPr>
        <w:spacing w:line="520" w:lineRule="atLeast"/>
        <w:ind w:firstLine="422" w:firstLineChars="96"/>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鹿城区老龄事业</w:t>
      </w:r>
      <w:bookmarkStart w:id="156" w:name="_GoBack"/>
      <w:bookmarkEnd w:id="156"/>
      <w:r>
        <w:rPr>
          <w:rFonts w:hint="eastAsia" w:ascii="方正小标宋简体" w:hAnsi="方正小标宋简体" w:eastAsia="方正小标宋简体" w:cs="方正小标宋简体"/>
          <w:b w:val="0"/>
          <w:bCs/>
          <w:color w:val="auto"/>
          <w:sz w:val="44"/>
          <w:szCs w:val="44"/>
        </w:rPr>
        <w:t>发展“十三五”规划</w:t>
      </w:r>
    </w:p>
    <w:p>
      <w:pPr>
        <w:spacing w:line="520" w:lineRule="atLeast"/>
        <w:ind w:firstLine="640" w:firstLineChars="200"/>
        <w:rPr>
          <w:rFonts w:ascii="宋体" w:hAnsi="宋体"/>
          <w:color w:val="auto"/>
          <w:sz w:val="32"/>
          <w:szCs w:val="32"/>
        </w:rPr>
      </w:pPr>
    </w:p>
    <w:p>
      <w:pPr>
        <w:spacing w:line="520" w:lineRule="atLeast"/>
        <w:ind w:firstLine="640" w:firstLineChars="200"/>
        <w:rPr>
          <w:rFonts w:ascii="宋体" w:hAnsi="宋体"/>
          <w:color w:val="auto"/>
          <w:sz w:val="32"/>
          <w:szCs w:val="32"/>
        </w:rPr>
      </w:pPr>
    </w:p>
    <w:p>
      <w:pPr>
        <w:spacing w:line="520" w:lineRule="atLeast"/>
        <w:ind w:firstLine="640" w:firstLineChars="200"/>
        <w:rPr>
          <w:rFonts w:ascii="宋体" w:hAnsi="宋体"/>
          <w:color w:val="auto"/>
          <w:sz w:val="32"/>
          <w:szCs w:val="32"/>
        </w:rPr>
      </w:pPr>
    </w:p>
    <w:p>
      <w:pPr>
        <w:spacing w:line="520" w:lineRule="atLeast"/>
        <w:ind w:firstLine="640" w:firstLineChars="200"/>
        <w:rPr>
          <w:rFonts w:ascii="宋体" w:hAnsi="宋体"/>
          <w:color w:val="auto"/>
          <w:sz w:val="32"/>
          <w:szCs w:val="32"/>
        </w:rPr>
      </w:pPr>
    </w:p>
    <w:p>
      <w:pPr>
        <w:spacing w:line="520" w:lineRule="atLeast"/>
        <w:ind w:firstLine="640" w:firstLineChars="200"/>
        <w:rPr>
          <w:rFonts w:ascii="宋体" w:hAnsi="宋体"/>
          <w:color w:val="auto"/>
          <w:sz w:val="32"/>
          <w:szCs w:val="32"/>
        </w:rPr>
      </w:pPr>
    </w:p>
    <w:p>
      <w:pPr>
        <w:spacing w:line="520" w:lineRule="atLeast"/>
        <w:ind w:firstLine="640" w:firstLineChars="200"/>
        <w:rPr>
          <w:rFonts w:ascii="宋体" w:hAnsi="宋体"/>
          <w:color w:val="auto"/>
          <w:sz w:val="32"/>
          <w:szCs w:val="32"/>
        </w:rPr>
      </w:pPr>
    </w:p>
    <w:p>
      <w:pPr>
        <w:spacing w:line="520" w:lineRule="atLeast"/>
        <w:ind w:firstLine="640" w:firstLineChars="200"/>
        <w:rPr>
          <w:rFonts w:ascii="宋体" w:hAnsi="宋体"/>
          <w:color w:val="auto"/>
          <w:sz w:val="32"/>
          <w:szCs w:val="32"/>
        </w:rPr>
      </w:pPr>
    </w:p>
    <w:p>
      <w:pPr>
        <w:spacing w:line="520" w:lineRule="atLeast"/>
        <w:ind w:firstLine="640" w:firstLineChars="200"/>
        <w:rPr>
          <w:rFonts w:ascii="宋体" w:hAnsi="宋体"/>
          <w:color w:val="auto"/>
          <w:sz w:val="32"/>
          <w:szCs w:val="32"/>
        </w:rPr>
      </w:pPr>
    </w:p>
    <w:p>
      <w:pPr>
        <w:spacing w:line="520" w:lineRule="atLeast"/>
        <w:ind w:firstLine="640" w:firstLineChars="200"/>
        <w:rPr>
          <w:rFonts w:ascii="宋体" w:hAnsi="宋体"/>
          <w:color w:val="auto"/>
          <w:sz w:val="32"/>
          <w:szCs w:val="32"/>
        </w:rPr>
      </w:pPr>
    </w:p>
    <w:p>
      <w:pPr>
        <w:spacing w:line="520" w:lineRule="atLeast"/>
        <w:ind w:firstLine="640" w:firstLineChars="200"/>
        <w:rPr>
          <w:rFonts w:ascii="宋体" w:hAnsi="宋体"/>
          <w:color w:val="auto"/>
          <w:sz w:val="32"/>
          <w:szCs w:val="32"/>
        </w:rPr>
      </w:pPr>
    </w:p>
    <w:p>
      <w:pPr>
        <w:spacing w:line="520" w:lineRule="atLeast"/>
        <w:ind w:firstLine="643" w:firstLineChars="200"/>
        <w:rPr>
          <w:rFonts w:ascii="宋体" w:hAnsi="宋体"/>
          <w:b/>
          <w:bCs/>
          <w:color w:val="auto"/>
          <w:sz w:val="32"/>
          <w:szCs w:val="32"/>
        </w:rPr>
      </w:pPr>
    </w:p>
    <w:p>
      <w:pPr>
        <w:spacing w:line="520" w:lineRule="atLeast"/>
        <w:ind w:firstLine="422" w:firstLineChars="132"/>
        <w:jc w:val="cente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温州市鹿城区</w:t>
      </w:r>
      <w:r>
        <w:rPr>
          <w:rFonts w:hint="eastAsia" w:ascii="方正小标宋简体" w:hAnsi="方正小标宋简体" w:eastAsia="方正小标宋简体" w:cs="方正小标宋简体"/>
          <w:b w:val="0"/>
          <w:bCs w:val="0"/>
          <w:color w:val="auto"/>
          <w:sz w:val="32"/>
          <w:szCs w:val="32"/>
          <w:lang w:eastAsia="zh-CN"/>
        </w:rPr>
        <w:t>人民政府</w:t>
      </w:r>
    </w:p>
    <w:p>
      <w:pPr>
        <w:spacing w:line="520" w:lineRule="atLeast"/>
        <w:ind w:firstLine="422" w:firstLineChars="132"/>
        <w:jc w:val="center"/>
        <w:rPr>
          <w:rFonts w:hint="eastAsia" w:ascii="方正小标宋简体" w:hAnsi="方正小标宋简体" w:eastAsia="方正小标宋简体" w:cs="方正小标宋简体"/>
          <w:b w:val="0"/>
          <w:bCs w:val="0"/>
          <w:color w:val="auto"/>
          <w:sz w:val="32"/>
          <w:szCs w:val="32"/>
        </w:rPr>
        <w:sectPr>
          <w:headerReference r:id="rId4" w:type="default"/>
          <w:footerReference r:id="rId5" w:type="default"/>
          <w:footerReference r:id="rId6" w:type="even"/>
          <w:pgSz w:w="11906" w:h="16838"/>
          <w:pgMar w:top="2098" w:right="1474" w:bottom="1985" w:left="1588" w:header="851" w:footer="992" w:gutter="0"/>
          <w:pgNumType w:start="1"/>
          <w:cols w:space="720" w:num="1"/>
          <w:docGrid w:type="lines" w:linePitch="312" w:charSpace="0"/>
        </w:sectPr>
      </w:pPr>
      <w:r>
        <w:rPr>
          <w:rFonts w:hint="eastAsia" w:ascii="方正小标宋简体" w:hAnsi="方正小标宋简体" w:eastAsia="方正小标宋简体" w:cs="方正小标宋简体"/>
          <w:b w:val="0"/>
          <w:bCs w:val="0"/>
          <w:color w:val="auto"/>
          <w:sz w:val="32"/>
          <w:szCs w:val="32"/>
        </w:rPr>
        <w:t>201</w:t>
      </w:r>
      <w:r>
        <w:rPr>
          <w:rFonts w:hint="eastAsia" w:ascii="方正小标宋简体" w:hAnsi="方正小标宋简体" w:eastAsia="方正小标宋简体" w:cs="方正小标宋简体"/>
          <w:b w:val="0"/>
          <w:bCs w:val="0"/>
          <w:color w:val="auto"/>
          <w:sz w:val="32"/>
          <w:szCs w:val="32"/>
          <w:lang w:val="en-US" w:eastAsia="zh-CN"/>
        </w:rPr>
        <w:t>7</w:t>
      </w:r>
      <w:r>
        <w:rPr>
          <w:rFonts w:hint="eastAsia" w:ascii="方正小标宋简体" w:hAnsi="方正小标宋简体" w:eastAsia="方正小标宋简体" w:cs="方正小标宋简体"/>
          <w:b w:val="0"/>
          <w:bCs w:val="0"/>
          <w:color w:val="auto"/>
          <w:sz w:val="32"/>
          <w:szCs w:val="32"/>
        </w:rPr>
        <w:t>年</w:t>
      </w:r>
      <w:r>
        <w:rPr>
          <w:rFonts w:hint="eastAsia" w:ascii="方正小标宋简体" w:hAnsi="方正小标宋简体" w:eastAsia="方正小标宋简体" w:cs="方正小标宋简体"/>
          <w:b w:val="0"/>
          <w:bCs w:val="0"/>
          <w:color w:val="auto"/>
          <w:sz w:val="32"/>
          <w:szCs w:val="32"/>
          <w:lang w:val="en-US" w:eastAsia="zh-CN"/>
        </w:rPr>
        <w:t>5</w:t>
      </w:r>
      <w:r>
        <w:rPr>
          <w:rFonts w:hint="eastAsia" w:ascii="方正小标宋简体" w:hAnsi="方正小标宋简体" w:eastAsia="方正小标宋简体" w:cs="方正小标宋简体"/>
          <w:b w:val="0"/>
          <w:bCs w:val="0"/>
          <w:color w:val="auto"/>
          <w:sz w:val="32"/>
          <w:szCs w:val="32"/>
        </w:rPr>
        <w:t>月</w:t>
      </w:r>
    </w:p>
    <w:p>
      <w:pPr>
        <w:pStyle w:val="26"/>
        <w:jc w:val="center"/>
        <w:rPr>
          <w:rFonts w:hint="eastAsia" w:ascii="方正小标宋简体" w:hAnsi="方正小标宋简体" w:eastAsia="方正小标宋简体" w:cs="方正小标宋简体"/>
          <w:b w:val="0"/>
          <w:bCs w:val="0"/>
          <w:color w:val="auto"/>
          <w:sz w:val="40"/>
          <w:lang w:val="zh-CN"/>
        </w:rPr>
      </w:pPr>
      <w:bookmarkStart w:id="0" w:name="_Toc19463"/>
      <w:bookmarkStart w:id="1" w:name="_Toc20861"/>
      <w:r>
        <w:rPr>
          <w:rFonts w:hint="eastAsia" w:ascii="方正小标宋简体" w:hAnsi="方正小标宋简体" w:eastAsia="方正小标宋简体" w:cs="方正小标宋简体"/>
          <w:b w:val="0"/>
          <w:bCs w:val="0"/>
          <w:color w:val="auto"/>
          <w:sz w:val="40"/>
          <w:lang w:val="zh-CN"/>
        </w:rPr>
        <w:t>目  录</w:t>
      </w:r>
      <w:bookmarkEnd w:id="0"/>
      <w:bookmarkEnd w:id="1"/>
    </w:p>
    <w:p>
      <w:pPr>
        <w:pStyle w:val="13"/>
        <w:tabs>
          <w:tab w:val="right" w:leader="dot" w:pos="8296"/>
        </w:tabs>
        <w:rPr>
          <w:color w:val="auto"/>
          <w:sz w:val="32"/>
          <w:szCs w:val="32"/>
        </w:rPr>
      </w:pPr>
      <w:r>
        <w:rPr>
          <w:color w:val="auto"/>
          <w:sz w:val="30"/>
          <w:szCs w:val="30"/>
        </w:rPr>
        <w:fldChar w:fldCharType="begin"/>
      </w:r>
      <w:r>
        <w:rPr>
          <w:color w:val="auto"/>
          <w:sz w:val="30"/>
          <w:szCs w:val="30"/>
        </w:rPr>
        <w:instrText xml:space="preserve">TOC \o "1-3" \h \u </w:instrText>
      </w:r>
      <w:r>
        <w:rPr>
          <w:color w:val="auto"/>
          <w:sz w:val="30"/>
          <w:szCs w:val="30"/>
        </w:rPr>
        <w:fldChar w:fldCharType="separate"/>
      </w: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"_Toc468224823"</w:instrText>
      </w:r>
      <w:r>
        <w:rPr>
          <w:rStyle w:val="24"/>
          <w:color w:val="auto"/>
          <w:sz w:val="32"/>
          <w:szCs w:val="32"/>
        </w:rPr>
        <w:instrText xml:space="preserve"> </w:instrText>
      </w:r>
      <w:r>
        <w:rPr>
          <w:rStyle w:val="24"/>
          <w:color w:val="auto"/>
          <w:sz w:val="32"/>
          <w:szCs w:val="32"/>
        </w:rPr>
        <w:fldChar w:fldCharType="separate"/>
      </w:r>
      <w:r>
        <w:rPr>
          <w:rStyle w:val="24"/>
          <w:rFonts w:hint="eastAsia" w:ascii="宋体" w:hAnsi="宋体"/>
          <w:color w:val="auto"/>
          <w:sz w:val="32"/>
          <w:szCs w:val="32"/>
        </w:rPr>
        <w:t>前</w:t>
      </w:r>
      <w:r>
        <w:rPr>
          <w:rStyle w:val="24"/>
          <w:rFonts w:ascii="宋体" w:hAnsi="宋体"/>
          <w:color w:val="auto"/>
          <w:sz w:val="32"/>
          <w:szCs w:val="32"/>
        </w:rPr>
        <w:t xml:space="preserve">  </w:t>
      </w:r>
      <w:r>
        <w:rPr>
          <w:rStyle w:val="24"/>
          <w:rFonts w:hint="eastAsia" w:ascii="宋体" w:hAnsi="宋体"/>
          <w:color w:val="auto"/>
          <w:sz w:val="32"/>
          <w:szCs w:val="32"/>
        </w:rPr>
        <w:t>言</w:t>
      </w:r>
      <w:r>
        <w:rPr>
          <w:color w:val="auto"/>
          <w:sz w:val="32"/>
          <w:szCs w:val="32"/>
        </w:rPr>
        <w:tab/>
      </w:r>
      <w:r>
        <w:rPr>
          <w:color w:val="auto"/>
          <w:sz w:val="32"/>
          <w:szCs w:val="32"/>
        </w:rPr>
        <w:fldChar w:fldCharType="begin"/>
      </w:r>
      <w:r>
        <w:rPr>
          <w:color w:val="auto"/>
          <w:sz w:val="32"/>
          <w:szCs w:val="32"/>
        </w:rPr>
        <w:instrText xml:space="preserve"> PAGEREF _Toc468224823 \h </w:instrText>
      </w:r>
      <w:r>
        <w:rPr>
          <w:color w:val="auto"/>
          <w:sz w:val="32"/>
          <w:szCs w:val="32"/>
        </w:rPr>
        <w:fldChar w:fldCharType="separate"/>
      </w:r>
      <w:r>
        <w:rPr>
          <w:color w:val="auto"/>
          <w:sz w:val="32"/>
          <w:szCs w:val="32"/>
        </w:rPr>
        <w:t>1</w:t>
      </w:r>
      <w:r>
        <w:rPr>
          <w:color w:val="auto"/>
          <w:sz w:val="32"/>
          <w:szCs w:val="32"/>
        </w:rPr>
        <w:fldChar w:fldCharType="end"/>
      </w:r>
      <w:r>
        <w:rPr>
          <w:rStyle w:val="24"/>
          <w:color w:val="auto"/>
          <w:sz w:val="32"/>
          <w:szCs w:val="32"/>
        </w:rPr>
        <w:fldChar w:fldCharType="end"/>
      </w:r>
    </w:p>
    <w:p>
      <w:pPr>
        <w:pStyle w:val="13"/>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"_Toc468224824"</w:instrText>
      </w:r>
      <w:r>
        <w:rPr>
          <w:rStyle w:val="24"/>
          <w:color w:val="auto"/>
          <w:sz w:val="32"/>
          <w:szCs w:val="32"/>
        </w:rPr>
        <w:instrText xml:space="preserve"> </w:instrText>
      </w:r>
      <w:r>
        <w:rPr>
          <w:rStyle w:val="24"/>
          <w:color w:val="auto"/>
          <w:sz w:val="32"/>
          <w:szCs w:val="32"/>
        </w:rPr>
        <w:fldChar w:fldCharType="separate"/>
      </w:r>
      <w:r>
        <w:rPr>
          <w:rStyle w:val="24"/>
          <w:rFonts w:hint="eastAsia" w:ascii="宋体" w:hAnsi="宋体"/>
          <w:color w:val="auto"/>
          <w:sz w:val="32"/>
          <w:szCs w:val="32"/>
        </w:rPr>
        <w:t>第一章</w:t>
      </w:r>
      <w:r>
        <w:rPr>
          <w:rStyle w:val="24"/>
          <w:rFonts w:ascii="宋体" w:hAnsi="宋体"/>
          <w:color w:val="auto"/>
          <w:sz w:val="32"/>
          <w:szCs w:val="32"/>
        </w:rPr>
        <w:t xml:space="preserve"> </w:t>
      </w:r>
      <w:r>
        <w:rPr>
          <w:rStyle w:val="24"/>
          <w:rFonts w:hint="eastAsia" w:ascii="宋体" w:hAnsi="宋体"/>
          <w:color w:val="auto"/>
          <w:sz w:val="32"/>
          <w:szCs w:val="32"/>
        </w:rPr>
        <w:t>现实基础</w:t>
      </w:r>
      <w:r>
        <w:rPr>
          <w:color w:val="auto"/>
          <w:sz w:val="32"/>
          <w:szCs w:val="32"/>
        </w:rPr>
        <w:tab/>
      </w:r>
      <w:r>
        <w:rPr>
          <w:color w:val="auto"/>
          <w:sz w:val="32"/>
          <w:szCs w:val="32"/>
        </w:rPr>
        <w:fldChar w:fldCharType="begin"/>
      </w:r>
      <w:r>
        <w:rPr>
          <w:color w:val="auto"/>
          <w:sz w:val="32"/>
          <w:szCs w:val="32"/>
        </w:rPr>
        <w:instrText xml:space="preserve"> PAGEREF _Toc468224824 \h </w:instrText>
      </w:r>
      <w:r>
        <w:rPr>
          <w:color w:val="auto"/>
          <w:sz w:val="32"/>
          <w:szCs w:val="32"/>
        </w:rPr>
        <w:fldChar w:fldCharType="separate"/>
      </w:r>
      <w:r>
        <w:rPr>
          <w:color w:val="auto"/>
          <w:sz w:val="32"/>
          <w:szCs w:val="32"/>
        </w:rPr>
        <w:t>5</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"_Toc468224825"</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一、发展成绩</w:t>
      </w:r>
      <w:r>
        <w:rPr>
          <w:color w:val="auto"/>
          <w:sz w:val="32"/>
          <w:szCs w:val="32"/>
        </w:rPr>
        <w:tab/>
      </w:r>
      <w:r>
        <w:rPr>
          <w:color w:val="auto"/>
          <w:sz w:val="32"/>
          <w:szCs w:val="32"/>
        </w:rPr>
        <w:fldChar w:fldCharType="begin"/>
      </w:r>
      <w:r>
        <w:rPr>
          <w:color w:val="auto"/>
          <w:sz w:val="32"/>
          <w:szCs w:val="32"/>
        </w:rPr>
        <w:instrText xml:space="preserve"> PAGEREF _Toc468224825 \h </w:instrText>
      </w:r>
      <w:r>
        <w:rPr>
          <w:color w:val="auto"/>
          <w:sz w:val="32"/>
          <w:szCs w:val="32"/>
        </w:rPr>
        <w:fldChar w:fldCharType="separate"/>
      </w:r>
      <w:r>
        <w:rPr>
          <w:color w:val="auto"/>
          <w:sz w:val="32"/>
          <w:szCs w:val="32"/>
        </w:rPr>
        <w:t>5</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"_Toc468224831"</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二、存在问题</w:t>
      </w:r>
      <w:r>
        <w:rPr>
          <w:color w:val="auto"/>
          <w:sz w:val="32"/>
          <w:szCs w:val="32"/>
        </w:rPr>
        <w:tab/>
      </w:r>
      <w:r>
        <w:rPr>
          <w:color w:val="auto"/>
          <w:sz w:val="32"/>
          <w:szCs w:val="32"/>
        </w:rPr>
        <w:fldChar w:fldCharType="begin"/>
      </w:r>
      <w:r>
        <w:rPr>
          <w:color w:val="auto"/>
          <w:sz w:val="32"/>
          <w:szCs w:val="32"/>
        </w:rPr>
        <w:instrText xml:space="preserve"> PAGEREF _Toc468224831 \h </w:instrText>
      </w:r>
      <w:r>
        <w:rPr>
          <w:color w:val="auto"/>
          <w:sz w:val="32"/>
          <w:szCs w:val="32"/>
        </w:rPr>
        <w:fldChar w:fldCharType="separate"/>
      </w:r>
      <w:r>
        <w:rPr>
          <w:color w:val="auto"/>
          <w:sz w:val="32"/>
          <w:szCs w:val="32"/>
        </w:rPr>
        <w:t>13</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"_Toc468224832"</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三、面临形势</w:t>
      </w:r>
      <w:r>
        <w:rPr>
          <w:color w:val="auto"/>
          <w:sz w:val="32"/>
          <w:szCs w:val="32"/>
        </w:rPr>
        <w:tab/>
      </w:r>
      <w:r>
        <w:rPr>
          <w:color w:val="auto"/>
          <w:sz w:val="32"/>
          <w:szCs w:val="32"/>
        </w:rPr>
        <w:fldChar w:fldCharType="begin"/>
      </w:r>
      <w:r>
        <w:rPr>
          <w:color w:val="auto"/>
          <w:sz w:val="32"/>
          <w:szCs w:val="32"/>
        </w:rPr>
        <w:instrText xml:space="preserve"> PAGEREF _Toc468224832 \h </w:instrText>
      </w:r>
      <w:r>
        <w:rPr>
          <w:color w:val="auto"/>
          <w:sz w:val="32"/>
          <w:szCs w:val="32"/>
        </w:rPr>
        <w:fldChar w:fldCharType="separate"/>
      </w:r>
      <w:r>
        <w:rPr>
          <w:color w:val="auto"/>
          <w:sz w:val="32"/>
          <w:szCs w:val="32"/>
        </w:rPr>
        <w:t>14</w:t>
      </w:r>
      <w:r>
        <w:rPr>
          <w:color w:val="auto"/>
          <w:sz w:val="32"/>
          <w:szCs w:val="32"/>
        </w:rPr>
        <w:fldChar w:fldCharType="end"/>
      </w:r>
      <w:r>
        <w:rPr>
          <w:rStyle w:val="24"/>
          <w:color w:val="auto"/>
          <w:sz w:val="32"/>
          <w:szCs w:val="32"/>
        </w:rPr>
        <w:fldChar w:fldCharType="end"/>
      </w:r>
    </w:p>
    <w:p>
      <w:pPr>
        <w:pStyle w:val="13"/>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"_Toc468224833"</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第二章</w:t>
      </w:r>
      <w:r>
        <w:rPr>
          <w:rStyle w:val="24"/>
          <w:color w:val="auto"/>
          <w:sz w:val="32"/>
          <w:szCs w:val="32"/>
        </w:rPr>
        <w:t xml:space="preserve">   </w:t>
      </w:r>
      <w:r>
        <w:rPr>
          <w:rStyle w:val="24"/>
          <w:rFonts w:hint="eastAsia"/>
          <w:color w:val="auto"/>
          <w:sz w:val="32"/>
          <w:szCs w:val="32"/>
        </w:rPr>
        <w:t>指导思想与发展目标</w:t>
      </w:r>
      <w:r>
        <w:rPr>
          <w:color w:val="auto"/>
          <w:sz w:val="32"/>
          <w:szCs w:val="32"/>
        </w:rPr>
        <w:tab/>
      </w:r>
      <w:r>
        <w:rPr>
          <w:color w:val="auto"/>
          <w:sz w:val="32"/>
          <w:szCs w:val="32"/>
        </w:rPr>
        <w:fldChar w:fldCharType="begin"/>
      </w:r>
      <w:r>
        <w:rPr>
          <w:color w:val="auto"/>
          <w:sz w:val="32"/>
          <w:szCs w:val="32"/>
        </w:rPr>
        <w:instrText xml:space="preserve"> PAGEREF _Toc468224833 \h </w:instrText>
      </w:r>
      <w:r>
        <w:rPr>
          <w:color w:val="auto"/>
          <w:sz w:val="32"/>
          <w:szCs w:val="32"/>
        </w:rPr>
        <w:fldChar w:fldCharType="separate"/>
      </w:r>
      <w:r>
        <w:rPr>
          <w:color w:val="auto"/>
          <w:sz w:val="32"/>
          <w:szCs w:val="32"/>
        </w:rPr>
        <w:t>16</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"_Toc468224834"</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lang w:val="zh-CN"/>
        </w:rPr>
        <w:t>一、指导思想</w:t>
      </w:r>
      <w:r>
        <w:rPr>
          <w:color w:val="auto"/>
          <w:sz w:val="32"/>
          <w:szCs w:val="32"/>
        </w:rPr>
        <w:tab/>
      </w:r>
      <w:r>
        <w:rPr>
          <w:color w:val="auto"/>
          <w:sz w:val="32"/>
          <w:szCs w:val="32"/>
        </w:rPr>
        <w:fldChar w:fldCharType="begin"/>
      </w:r>
      <w:r>
        <w:rPr>
          <w:color w:val="auto"/>
          <w:sz w:val="32"/>
          <w:szCs w:val="32"/>
        </w:rPr>
        <w:instrText xml:space="preserve"> PAGEREF _Toc468224834 \h </w:instrText>
      </w:r>
      <w:r>
        <w:rPr>
          <w:color w:val="auto"/>
          <w:sz w:val="32"/>
          <w:szCs w:val="32"/>
        </w:rPr>
        <w:fldChar w:fldCharType="separate"/>
      </w:r>
      <w:r>
        <w:rPr>
          <w:color w:val="auto"/>
          <w:sz w:val="32"/>
          <w:szCs w:val="32"/>
        </w:rPr>
        <w:t>16</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"_Toc468224835"</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lang w:val="zh-CN"/>
        </w:rPr>
        <w:t>二、发展目标</w:t>
      </w:r>
      <w:r>
        <w:rPr>
          <w:color w:val="auto"/>
          <w:sz w:val="32"/>
          <w:szCs w:val="32"/>
        </w:rPr>
        <w:tab/>
      </w:r>
      <w:r>
        <w:rPr>
          <w:color w:val="auto"/>
          <w:sz w:val="32"/>
          <w:szCs w:val="32"/>
        </w:rPr>
        <w:fldChar w:fldCharType="begin"/>
      </w:r>
      <w:r>
        <w:rPr>
          <w:color w:val="auto"/>
          <w:sz w:val="32"/>
          <w:szCs w:val="32"/>
        </w:rPr>
        <w:instrText xml:space="preserve"> PAGEREF _Toc468224835 \h </w:instrText>
      </w:r>
      <w:r>
        <w:rPr>
          <w:color w:val="auto"/>
          <w:sz w:val="32"/>
          <w:szCs w:val="32"/>
        </w:rPr>
        <w:fldChar w:fldCharType="separate"/>
      </w:r>
      <w:r>
        <w:rPr>
          <w:color w:val="auto"/>
          <w:sz w:val="32"/>
          <w:szCs w:val="32"/>
        </w:rPr>
        <w:t>16</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"_Toc468224836"</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lang w:val="zh-CN"/>
        </w:rPr>
        <w:t>三、基本原则</w:t>
      </w:r>
      <w:r>
        <w:rPr>
          <w:color w:val="auto"/>
          <w:sz w:val="32"/>
          <w:szCs w:val="32"/>
        </w:rPr>
        <w:tab/>
      </w:r>
      <w:r>
        <w:rPr>
          <w:color w:val="auto"/>
          <w:sz w:val="32"/>
          <w:szCs w:val="32"/>
        </w:rPr>
        <w:fldChar w:fldCharType="begin"/>
      </w:r>
      <w:r>
        <w:rPr>
          <w:color w:val="auto"/>
          <w:sz w:val="32"/>
          <w:szCs w:val="32"/>
        </w:rPr>
        <w:instrText xml:space="preserve"> PAGEREF _Toc468224836 \h </w:instrText>
      </w:r>
      <w:r>
        <w:rPr>
          <w:color w:val="auto"/>
          <w:sz w:val="32"/>
          <w:szCs w:val="32"/>
        </w:rPr>
        <w:fldChar w:fldCharType="separate"/>
      </w:r>
      <w:r>
        <w:rPr>
          <w:color w:val="auto"/>
          <w:sz w:val="32"/>
          <w:szCs w:val="32"/>
        </w:rPr>
        <w:t>18</w:t>
      </w:r>
      <w:r>
        <w:rPr>
          <w:color w:val="auto"/>
          <w:sz w:val="32"/>
          <w:szCs w:val="32"/>
        </w:rPr>
        <w:fldChar w:fldCharType="end"/>
      </w:r>
      <w:r>
        <w:rPr>
          <w:rStyle w:val="24"/>
          <w:color w:val="auto"/>
          <w:sz w:val="32"/>
          <w:szCs w:val="32"/>
        </w:rPr>
        <w:fldChar w:fldCharType="end"/>
      </w:r>
    </w:p>
    <w:p>
      <w:pPr>
        <w:pStyle w:val="13"/>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"_Toc468224837"</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第三章</w:t>
      </w:r>
      <w:r>
        <w:rPr>
          <w:rStyle w:val="24"/>
          <w:color w:val="auto"/>
          <w:sz w:val="32"/>
          <w:szCs w:val="32"/>
        </w:rPr>
        <w:t xml:space="preserve"> </w:t>
      </w:r>
      <w:r>
        <w:rPr>
          <w:rStyle w:val="24"/>
          <w:rFonts w:hint="eastAsia"/>
          <w:color w:val="auto"/>
          <w:sz w:val="32"/>
          <w:szCs w:val="32"/>
        </w:rPr>
        <w:t>主要任务</w:t>
      </w:r>
      <w:r>
        <w:rPr>
          <w:color w:val="auto"/>
          <w:sz w:val="32"/>
          <w:szCs w:val="32"/>
        </w:rPr>
        <w:tab/>
      </w:r>
      <w:r>
        <w:rPr>
          <w:color w:val="auto"/>
          <w:sz w:val="32"/>
          <w:szCs w:val="32"/>
        </w:rPr>
        <w:fldChar w:fldCharType="begin"/>
      </w:r>
      <w:r>
        <w:rPr>
          <w:color w:val="auto"/>
          <w:sz w:val="32"/>
          <w:szCs w:val="32"/>
        </w:rPr>
        <w:instrText xml:space="preserve"> PAGEREF _Toc468224837 \h </w:instrText>
      </w:r>
      <w:r>
        <w:rPr>
          <w:color w:val="auto"/>
          <w:sz w:val="32"/>
          <w:szCs w:val="32"/>
        </w:rPr>
        <w:fldChar w:fldCharType="separate"/>
      </w:r>
      <w:r>
        <w:rPr>
          <w:color w:val="auto"/>
          <w:sz w:val="32"/>
          <w:szCs w:val="32"/>
        </w:rPr>
        <w:t>20</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"_Toc468224838"</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一、</w:t>
      </w:r>
      <w:r>
        <w:rPr>
          <w:rStyle w:val="24"/>
          <w:rFonts w:hint="eastAsia" w:ascii="FZKTK--GBK1-0" w:hAnsi="FZKTK--GBK1-0" w:eastAsia="FZKTK--GBK1-0"/>
          <w:color w:val="auto"/>
          <w:sz w:val="32"/>
          <w:szCs w:val="32"/>
        </w:rPr>
        <w:t>完善养老社会保障体系，</w:t>
      </w:r>
      <w:r>
        <w:rPr>
          <w:rStyle w:val="24"/>
          <w:rFonts w:hint="eastAsia" w:eastAsia="FZKTK--GBK1-0"/>
          <w:color w:val="auto"/>
          <w:sz w:val="32"/>
          <w:szCs w:val="32"/>
        </w:rPr>
        <w:t>增强</w:t>
      </w:r>
      <w:r>
        <w:rPr>
          <w:rStyle w:val="24"/>
          <w:rFonts w:hint="eastAsia"/>
          <w:color w:val="auto"/>
          <w:sz w:val="32"/>
          <w:szCs w:val="32"/>
        </w:rPr>
        <w:t>老年人经济保障能力</w:t>
      </w:r>
      <w:r>
        <w:rPr>
          <w:color w:val="auto"/>
          <w:sz w:val="32"/>
          <w:szCs w:val="32"/>
        </w:rPr>
        <w:tab/>
      </w:r>
      <w:r>
        <w:rPr>
          <w:color w:val="auto"/>
          <w:sz w:val="32"/>
          <w:szCs w:val="32"/>
        </w:rPr>
        <w:fldChar w:fldCharType="begin"/>
      </w:r>
      <w:r>
        <w:rPr>
          <w:color w:val="auto"/>
          <w:sz w:val="32"/>
          <w:szCs w:val="32"/>
        </w:rPr>
        <w:instrText xml:space="preserve"> PAGEREF _Toc468224838 \h </w:instrText>
      </w:r>
      <w:r>
        <w:rPr>
          <w:color w:val="auto"/>
          <w:sz w:val="32"/>
          <w:szCs w:val="32"/>
        </w:rPr>
        <w:fldChar w:fldCharType="separate"/>
      </w:r>
      <w:r>
        <w:rPr>
          <w:color w:val="auto"/>
          <w:sz w:val="32"/>
          <w:szCs w:val="32"/>
        </w:rPr>
        <w:t>20</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"_Toc468224839"</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二、</w:t>
      </w:r>
      <w:r>
        <w:rPr>
          <w:rStyle w:val="24"/>
          <w:rFonts w:hint="eastAsia" w:ascii="FZKTK--GBK1-0" w:hAnsi="FZKTK--GBK1-0" w:eastAsia="FZKTK--GBK1-0"/>
          <w:color w:val="auto"/>
          <w:sz w:val="32"/>
          <w:szCs w:val="32"/>
        </w:rPr>
        <w:t>健全社会养老服务体系</w:t>
      </w:r>
      <w:r>
        <w:rPr>
          <w:rStyle w:val="24"/>
          <w:rFonts w:hint="eastAsia" w:ascii="E-B6" w:hAnsi="E-B6" w:eastAsia="E-B6"/>
          <w:color w:val="auto"/>
          <w:sz w:val="32"/>
          <w:szCs w:val="32"/>
        </w:rPr>
        <w:t>，</w:t>
      </w:r>
      <w:r>
        <w:rPr>
          <w:rStyle w:val="24"/>
          <w:rFonts w:hint="eastAsia" w:ascii="FZKTK--GBK1-0" w:hAnsi="FZKTK--GBK1-0" w:eastAsia="FZKTK--GBK1-0"/>
          <w:color w:val="auto"/>
          <w:sz w:val="32"/>
          <w:szCs w:val="32"/>
        </w:rPr>
        <w:t>提升老年人生活质量</w:t>
      </w:r>
      <w:r>
        <w:rPr>
          <w:color w:val="auto"/>
          <w:sz w:val="32"/>
          <w:szCs w:val="32"/>
        </w:rPr>
        <w:tab/>
      </w:r>
      <w:r>
        <w:rPr>
          <w:color w:val="auto"/>
          <w:sz w:val="32"/>
          <w:szCs w:val="32"/>
        </w:rPr>
        <w:fldChar w:fldCharType="begin"/>
      </w:r>
      <w:r>
        <w:rPr>
          <w:color w:val="auto"/>
          <w:sz w:val="32"/>
          <w:szCs w:val="32"/>
        </w:rPr>
        <w:instrText xml:space="preserve"> PAGEREF _Toc468224839 \h </w:instrText>
      </w:r>
      <w:r>
        <w:rPr>
          <w:color w:val="auto"/>
          <w:sz w:val="32"/>
          <w:szCs w:val="32"/>
        </w:rPr>
        <w:fldChar w:fldCharType="separate"/>
      </w:r>
      <w:r>
        <w:rPr>
          <w:color w:val="auto"/>
          <w:sz w:val="32"/>
          <w:szCs w:val="32"/>
        </w:rPr>
        <w:t>21</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"_Toc468224840"</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三、</w:t>
      </w:r>
      <w:r>
        <w:rPr>
          <w:rStyle w:val="24"/>
          <w:rFonts w:hint="eastAsia" w:ascii="FZKTK--GBK1-0" w:hAnsi="FZKTK--GBK1-0" w:eastAsia="FZKTK--GBK1-0"/>
          <w:color w:val="auto"/>
          <w:sz w:val="32"/>
          <w:szCs w:val="32"/>
        </w:rPr>
        <w:t>完善老年医疗卫生服务体系</w:t>
      </w:r>
      <w:r>
        <w:rPr>
          <w:rStyle w:val="24"/>
          <w:rFonts w:hint="eastAsia" w:ascii="E-B6" w:hAnsi="E-B6" w:eastAsia="E-B6"/>
          <w:color w:val="auto"/>
          <w:sz w:val="32"/>
          <w:szCs w:val="32"/>
        </w:rPr>
        <w:t>，</w:t>
      </w:r>
      <w:r>
        <w:rPr>
          <w:rStyle w:val="24"/>
          <w:rFonts w:hint="eastAsia" w:ascii="FZKTK--GBK1-0" w:hAnsi="FZKTK--GBK1-0" w:eastAsia="FZKTK--GBK1-0"/>
          <w:color w:val="auto"/>
          <w:sz w:val="32"/>
          <w:szCs w:val="32"/>
        </w:rPr>
        <w:t>提高老年人健康水平</w:t>
      </w:r>
      <w:r>
        <w:rPr>
          <w:color w:val="auto"/>
          <w:sz w:val="32"/>
          <w:szCs w:val="32"/>
        </w:rPr>
        <w:tab/>
      </w:r>
      <w:r>
        <w:rPr>
          <w:color w:val="auto"/>
          <w:sz w:val="32"/>
          <w:szCs w:val="32"/>
        </w:rPr>
        <w:fldChar w:fldCharType="begin"/>
      </w:r>
      <w:r>
        <w:rPr>
          <w:color w:val="auto"/>
          <w:sz w:val="32"/>
          <w:szCs w:val="32"/>
        </w:rPr>
        <w:instrText xml:space="preserve"> PAGEREF _Toc468224840 \h </w:instrText>
      </w:r>
      <w:r>
        <w:rPr>
          <w:color w:val="auto"/>
          <w:sz w:val="32"/>
          <w:szCs w:val="32"/>
        </w:rPr>
        <w:fldChar w:fldCharType="separate"/>
      </w:r>
      <w:r>
        <w:rPr>
          <w:color w:val="auto"/>
          <w:sz w:val="32"/>
          <w:szCs w:val="32"/>
        </w:rPr>
        <w:t>24</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"_Toc468224841"</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四、优化老年人居住生活环境，</w:t>
      </w:r>
      <w:r>
        <w:rPr>
          <w:rStyle w:val="24"/>
          <w:rFonts w:hint="eastAsia" w:ascii="FZKTK--GBK1-0" w:hAnsi="FZKTK--GBK1-0" w:eastAsia="FZKTK--GBK1-0"/>
          <w:color w:val="auto"/>
          <w:sz w:val="32"/>
          <w:szCs w:val="32"/>
        </w:rPr>
        <w:t>提升老年人的幸福感</w:t>
      </w:r>
      <w:r>
        <w:rPr>
          <w:color w:val="auto"/>
          <w:sz w:val="32"/>
          <w:szCs w:val="32"/>
        </w:rPr>
        <w:tab/>
      </w:r>
      <w:r>
        <w:rPr>
          <w:color w:val="auto"/>
          <w:sz w:val="32"/>
          <w:szCs w:val="32"/>
        </w:rPr>
        <w:fldChar w:fldCharType="begin"/>
      </w:r>
      <w:r>
        <w:rPr>
          <w:color w:val="auto"/>
          <w:sz w:val="32"/>
          <w:szCs w:val="32"/>
        </w:rPr>
        <w:instrText xml:space="preserve"> PAGEREF _Toc468224841 \h </w:instrText>
      </w:r>
      <w:r>
        <w:rPr>
          <w:color w:val="auto"/>
          <w:sz w:val="32"/>
          <w:szCs w:val="32"/>
        </w:rPr>
        <w:fldChar w:fldCharType="separate"/>
      </w:r>
      <w:r>
        <w:rPr>
          <w:color w:val="auto"/>
          <w:sz w:val="32"/>
          <w:szCs w:val="32"/>
        </w:rPr>
        <w:t>25</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"_Toc468224842"</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五、</w:t>
      </w:r>
      <w:r>
        <w:rPr>
          <w:rStyle w:val="24"/>
          <w:rFonts w:hint="eastAsia" w:ascii="FZKTK--GBK1-0" w:hAnsi="FZKTK--GBK1-0" w:eastAsia="FZKTK--GBK1-0"/>
          <w:color w:val="auto"/>
          <w:sz w:val="32"/>
          <w:szCs w:val="32"/>
        </w:rPr>
        <w:t>鼓励老年人参与社会</w:t>
      </w:r>
      <w:r>
        <w:rPr>
          <w:rStyle w:val="24"/>
          <w:rFonts w:ascii="E-B6" w:hAnsi="E-B6" w:eastAsia="E-B6"/>
          <w:color w:val="auto"/>
          <w:sz w:val="32"/>
          <w:szCs w:val="32"/>
        </w:rPr>
        <w:t>,</w:t>
      </w:r>
      <w:r>
        <w:rPr>
          <w:rStyle w:val="24"/>
          <w:rFonts w:hint="eastAsia" w:ascii="FZKTK--GBK1-0" w:hAnsi="FZKTK--GBK1-0" w:eastAsia="FZKTK--GBK1-0"/>
          <w:color w:val="auto"/>
          <w:sz w:val="32"/>
          <w:szCs w:val="32"/>
        </w:rPr>
        <w:t>发挥老年人的社会价值</w:t>
      </w:r>
      <w:r>
        <w:rPr>
          <w:color w:val="auto"/>
          <w:sz w:val="32"/>
          <w:szCs w:val="32"/>
        </w:rPr>
        <w:tab/>
      </w:r>
      <w:r>
        <w:rPr>
          <w:color w:val="auto"/>
          <w:sz w:val="32"/>
          <w:szCs w:val="32"/>
        </w:rPr>
        <w:fldChar w:fldCharType="begin"/>
      </w:r>
      <w:r>
        <w:rPr>
          <w:color w:val="auto"/>
          <w:sz w:val="32"/>
          <w:szCs w:val="32"/>
        </w:rPr>
        <w:instrText xml:space="preserve"> PAGEREF _Toc468224842 \h </w:instrText>
      </w:r>
      <w:r>
        <w:rPr>
          <w:color w:val="auto"/>
          <w:sz w:val="32"/>
          <w:szCs w:val="32"/>
        </w:rPr>
        <w:fldChar w:fldCharType="separate"/>
      </w:r>
      <w:r>
        <w:rPr>
          <w:color w:val="auto"/>
          <w:sz w:val="32"/>
          <w:szCs w:val="32"/>
        </w:rPr>
        <w:t>27</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"_Toc468224843"</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六、发展老年人文教体娱，丰富老年人精神文化生活</w:t>
      </w:r>
      <w:r>
        <w:rPr>
          <w:color w:val="auto"/>
          <w:sz w:val="32"/>
          <w:szCs w:val="32"/>
        </w:rPr>
        <w:tab/>
      </w:r>
      <w:r>
        <w:rPr>
          <w:color w:val="auto"/>
          <w:sz w:val="32"/>
          <w:szCs w:val="32"/>
        </w:rPr>
        <w:fldChar w:fldCharType="begin"/>
      </w:r>
      <w:r>
        <w:rPr>
          <w:color w:val="auto"/>
          <w:sz w:val="32"/>
          <w:szCs w:val="32"/>
        </w:rPr>
        <w:instrText xml:space="preserve"> PAGEREF _Toc468224843 \h </w:instrText>
      </w:r>
      <w:r>
        <w:rPr>
          <w:color w:val="auto"/>
          <w:sz w:val="32"/>
          <w:szCs w:val="32"/>
        </w:rPr>
        <w:fldChar w:fldCharType="separate"/>
      </w:r>
      <w:r>
        <w:rPr>
          <w:color w:val="auto"/>
          <w:sz w:val="32"/>
          <w:szCs w:val="32"/>
        </w:rPr>
        <w:t>28</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"_Toc468224844"</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七、切实维护老年人合法权益，</w:t>
      </w:r>
      <w:r>
        <w:rPr>
          <w:rStyle w:val="24"/>
          <w:rFonts w:hint="eastAsia" w:ascii="FZKTK--GBK1-0" w:hAnsi="FZKTK--GBK1-0" w:eastAsia="FZKTK--GBK1-0"/>
          <w:color w:val="auto"/>
          <w:sz w:val="32"/>
          <w:szCs w:val="32"/>
        </w:rPr>
        <w:t>提高老年人社会地位</w:t>
      </w:r>
      <w:r>
        <w:rPr>
          <w:color w:val="auto"/>
          <w:sz w:val="32"/>
          <w:szCs w:val="32"/>
        </w:rPr>
        <w:tab/>
      </w:r>
      <w:r>
        <w:rPr>
          <w:color w:val="auto"/>
          <w:sz w:val="32"/>
          <w:szCs w:val="32"/>
        </w:rPr>
        <w:fldChar w:fldCharType="begin"/>
      </w:r>
      <w:r>
        <w:rPr>
          <w:color w:val="auto"/>
          <w:sz w:val="32"/>
          <w:szCs w:val="32"/>
        </w:rPr>
        <w:instrText xml:space="preserve"> PAGEREF _Toc468224844 \h </w:instrText>
      </w:r>
      <w:r>
        <w:rPr>
          <w:color w:val="auto"/>
          <w:sz w:val="32"/>
          <w:szCs w:val="32"/>
        </w:rPr>
        <w:fldChar w:fldCharType="separate"/>
      </w:r>
      <w:r>
        <w:rPr>
          <w:color w:val="auto"/>
          <w:sz w:val="32"/>
          <w:szCs w:val="32"/>
        </w:rPr>
        <w:t>30</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"_Toc468224845"</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八、加快老龄产业创新发展</w:t>
      </w:r>
      <w:r>
        <w:rPr>
          <w:rStyle w:val="24"/>
          <w:rFonts w:ascii="E-B6" w:hAnsi="E-B6" w:eastAsia="E-B6"/>
          <w:color w:val="auto"/>
          <w:sz w:val="32"/>
          <w:szCs w:val="32"/>
        </w:rPr>
        <w:t>,</w:t>
      </w:r>
      <w:r>
        <w:rPr>
          <w:rStyle w:val="24"/>
          <w:rFonts w:hint="eastAsia" w:ascii="FZKTK--GBK1-0" w:hAnsi="FZKTK--GBK1-0" w:eastAsia="FZKTK--GBK1-0"/>
          <w:color w:val="auto"/>
          <w:sz w:val="32"/>
          <w:szCs w:val="32"/>
        </w:rPr>
        <w:t>满足老年人多样化需求</w:t>
      </w:r>
      <w:r>
        <w:rPr>
          <w:color w:val="auto"/>
          <w:sz w:val="32"/>
          <w:szCs w:val="32"/>
        </w:rPr>
        <w:tab/>
      </w:r>
      <w:r>
        <w:rPr>
          <w:color w:val="auto"/>
          <w:sz w:val="32"/>
          <w:szCs w:val="32"/>
        </w:rPr>
        <w:fldChar w:fldCharType="begin"/>
      </w:r>
      <w:r>
        <w:rPr>
          <w:color w:val="auto"/>
          <w:sz w:val="32"/>
          <w:szCs w:val="32"/>
        </w:rPr>
        <w:instrText xml:space="preserve"> PAGEREF _Toc468224845 \h </w:instrText>
      </w:r>
      <w:r>
        <w:rPr>
          <w:color w:val="auto"/>
          <w:sz w:val="32"/>
          <w:szCs w:val="32"/>
        </w:rPr>
        <w:fldChar w:fldCharType="separate"/>
      </w:r>
      <w:r>
        <w:rPr>
          <w:color w:val="auto"/>
          <w:sz w:val="32"/>
          <w:szCs w:val="32"/>
        </w:rPr>
        <w:t>31</w:t>
      </w:r>
      <w:r>
        <w:rPr>
          <w:color w:val="auto"/>
          <w:sz w:val="32"/>
          <w:szCs w:val="32"/>
        </w:rPr>
        <w:fldChar w:fldCharType="end"/>
      </w:r>
      <w:r>
        <w:rPr>
          <w:rStyle w:val="24"/>
          <w:color w:val="auto"/>
          <w:sz w:val="32"/>
          <w:szCs w:val="32"/>
        </w:rPr>
        <w:fldChar w:fldCharType="end"/>
      </w:r>
    </w:p>
    <w:p>
      <w:pPr>
        <w:pStyle w:val="13"/>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"_Toc468224846"</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第四章</w:t>
      </w:r>
      <w:r>
        <w:rPr>
          <w:rStyle w:val="24"/>
          <w:color w:val="auto"/>
          <w:sz w:val="32"/>
          <w:szCs w:val="32"/>
        </w:rPr>
        <w:t xml:space="preserve"> </w:t>
      </w:r>
      <w:r>
        <w:rPr>
          <w:rStyle w:val="24"/>
          <w:rFonts w:hint="eastAsia"/>
          <w:color w:val="auto"/>
          <w:sz w:val="32"/>
          <w:szCs w:val="32"/>
        </w:rPr>
        <w:t>保障措施</w:t>
      </w:r>
      <w:r>
        <w:rPr>
          <w:color w:val="auto"/>
          <w:sz w:val="32"/>
          <w:szCs w:val="32"/>
        </w:rPr>
        <w:tab/>
      </w:r>
      <w:r>
        <w:rPr>
          <w:color w:val="auto"/>
          <w:sz w:val="32"/>
          <w:szCs w:val="32"/>
        </w:rPr>
        <w:fldChar w:fldCharType="begin"/>
      </w:r>
      <w:r>
        <w:rPr>
          <w:color w:val="auto"/>
          <w:sz w:val="32"/>
          <w:szCs w:val="32"/>
        </w:rPr>
        <w:instrText xml:space="preserve"> PAGEREF _Toc468224846 \h </w:instrText>
      </w:r>
      <w:r>
        <w:rPr>
          <w:color w:val="auto"/>
          <w:sz w:val="32"/>
          <w:szCs w:val="32"/>
        </w:rPr>
        <w:fldChar w:fldCharType="separate"/>
      </w:r>
      <w:r>
        <w:rPr>
          <w:color w:val="auto"/>
          <w:sz w:val="32"/>
          <w:szCs w:val="32"/>
        </w:rPr>
        <w:t>34</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"_Toc468224847"</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lang w:val="zh-CN"/>
        </w:rPr>
        <w:t>一、加强组织领导</w:t>
      </w:r>
      <w:r>
        <w:rPr>
          <w:color w:val="auto"/>
          <w:sz w:val="32"/>
          <w:szCs w:val="32"/>
        </w:rPr>
        <w:tab/>
      </w:r>
      <w:r>
        <w:rPr>
          <w:color w:val="auto"/>
          <w:sz w:val="32"/>
          <w:szCs w:val="32"/>
        </w:rPr>
        <w:fldChar w:fldCharType="begin"/>
      </w:r>
      <w:r>
        <w:rPr>
          <w:color w:val="auto"/>
          <w:sz w:val="32"/>
          <w:szCs w:val="32"/>
        </w:rPr>
        <w:instrText xml:space="preserve"> PAGEREF _Toc468224847 \h </w:instrText>
      </w:r>
      <w:r>
        <w:rPr>
          <w:color w:val="auto"/>
          <w:sz w:val="32"/>
          <w:szCs w:val="32"/>
        </w:rPr>
        <w:fldChar w:fldCharType="separate"/>
      </w:r>
      <w:r>
        <w:rPr>
          <w:color w:val="auto"/>
          <w:sz w:val="32"/>
          <w:szCs w:val="32"/>
        </w:rPr>
        <w:t>34</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"_Toc468224848"</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lang w:val="zh-CN"/>
        </w:rPr>
        <w:t>二、确保经费投入</w:t>
      </w:r>
      <w:r>
        <w:rPr>
          <w:color w:val="auto"/>
          <w:sz w:val="32"/>
          <w:szCs w:val="32"/>
        </w:rPr>
        <w:tab/>
      </w:r>
      <w:r>
        <w:rPr>
          <w:color w:val="auto"/>
          <w:sz w:val="32"/>
          <w:szCs w:val="32"/>
        </w:rPr>
        <w:fldChar w:fldCharType="begin"/>
      </w:r>
      <w:r>
        <w:rPr>
          <w:color w:val="auto"/>
          <w:sz w:val="32"/>
          <w:szCs w:val="32"/>
        </w:rPr>
        <w:instrText xml:space="preserve"> PAGEREF _Toc468224848 \h </w:instrText>
      </w:r>
      <w:r>
        <w:rPr>
          <w:color w:val="auto"/>
          <w:sz w:val="32"/>
          <w:szCs w:val="32"/>
        </w:rPr>
        <w:fldChar w:fldCharType="separate"/>
      </w:r>
      <w:r>
        <w:rPr>
          <w:color w:val="auto"/>
          <w:sz w:val="32"/>
          <w:szCs w:val="32"/>
        </w:rPr>
        <w:t>34</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"_Toc468224849"</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lang w:val="zh-CN"/>
        </w:rPr>
        <w:t>三、强化队伍建设</w:t>
      </w:r>
      <w:r>
        <w:rPr>
          <w:color w:val="auto"/>
          <w:sz w:val="32"/>
          <w:szCs w:val="32"/>
        </w:rPr>
        <w:tab/>
      </w:r>
      <w:r>
        <w:rPr>
          <w:color w:val="auto"/>
          <w:sz w:val="32"/>
          <w:szCs w:val="32"/>
        </w:rPr>
        <w:fldChar w:fldCharType="begin"/>
      </w:r>
      <w:r>
        <w:rPr>
          <w:color w:val="auto"/>
          <w:sz w:val="32"/>
          <w:szCs w:val="32"/>
        </w:rPr>
        <w:instrText xml:space="preserve"> PAGEREF _Toc468224849 \h </w:instrText>
      </w:r>
      <w:r>
        <w:rPr>
          <w:color w:val="auto"/>
          <w:sz w:val="32"/>
          <w:szCs w:val="32"/>
        </w:rPr>
        <w:fldChar w:fldCharType="separate"/>
      </w:r>
      <w:r>
        <w:rPr>
          <w:color w:val="auto"/>
          <w:sz w:val="32"/>
          <w:szCs w:val="32"/>
        </w:rPr>
        <w:t>35</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"_Toc468224850"</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lang w:val="zh-CN"/>
        </w:rPr>
        <w:t>四、营造良好氛围</w:t>
      </w:r>
      <w:r>
        <w:rPr>
          <w:color w:val="auto"/>
          <w:sz w:val="32"/>
          <w:szCs w:val="32"/>
        </w:rPr>
        <w:tab/>
      </w:r>
      <w:r>
        <w:rPr>
          <w:color w:val="auto"/>
          <w:sz w:val="32"/>
          <w:szCs w:val="32"/>
        </w:rPr>
        <w:fldChar w:fldCharType="begin"/>
      </w:r>
      <w:r>
        <w:rPr>
          <w:color w:val="auto"/>
          <w:sz w:val="32"/>
          <w:szCs w:val="32"/>
        </w:rPr>
        <w:instrText xml:space="preserve"> PAGEREF _Toc468224850 \h </w:instrText>
      </w:r>
      <w:r>
        <w:rPr>
          <w:color w:val="auto"/>
          <w:sz w:val="32"/>
          <w:szCs w:val="32"/>
        </w:rPr>
        <w:fldChar w:fldCharType="separate"/>
      </w:r>
      <w:r>
        <w:rPr>
          <w:color w:val="auto"/>
          <w:sz w:val="32"/>
          <w:szCs w:val="32"/>
        </w:rPr>
        <w:t>36</w:t>
      </w:r>
      <w:r>
        <w:rPr>
          <w:color w:val="auto"/>
          <w:sz w:val="32"/>
          <w:szCs w:val="32"/>
        </w:rPr>
        <w:fldChar w:fldCharType="end"/>
      </w:r>
      <w:r>
        <w:rPr>
          <w:rStyle w:val="24"/>
          <w:color w:val="auto"/>
          <w:sz w:val="32"/>
          <w:szCs w:val="32"/>
        </w:rPr>
        <w:fldChar w:fldCharType="end"/>
      </w:r>
    </w:p>
    <w:p>
      <w:pPr>
        <w:pStyle w:val="17"/>
        <w:tabs>
          <w:tab w:val="right" w:leader="dot" w:pos="8296"/>
        </w:tabs>
        <w:rPr>
          <w:color w:val="auto"/>
          <w:sz w:val="32"/>
          <w:szCs w:val="32"/>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"_Toc468224851"</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lang w:val="zh-CN"/>
        </w:rPr>
        <w:t>五、开展检查评估</w:t>
      </w:r>
      <w:r>
        <w:rPr>
          <w:color w:val="auto"/>
          <w:sz w:val="32"/>
          <w:szCs w:val="32"/>
        </w:rPr>
        <w:tab/>
      </w:r>
      <w:r>
        <w:rPr>
          <w:color w:val="auto"/>
          <w:sz w:val="32"/>
          <w:szCs w:val="32"/>
        </w:rPr>
        <w:fldChar w:fldCharType="begin"/>
      </w:r>
      <w:r>
        <w:rPr>
          <w:color w:val="auto"/>
          <w:sz w:val="32"/>
          <w:szCs w:val="32"/>
        </w:rPr>
        <w:instrText xml:space="preserve"> PAGEREF _Toc468224851 \h </w:instrText>
      </w:r>
      <w:r>
        <w:rPr>
          <w:color w:val="auto"/>
          <w:sz w:val="32"/>
          <w:szCs w:val="32"/>
        </w:rPr>
        <w:fldChar w:fldCharType="separate"/>
      </w:r>
      <w:r>
        <w:rPr>
          <w:color w:val="auto"/>
          <w:sz w:val="32"/>
          <w:szCs w:val="32"/>
        </w:rPr>
        <w:t>36</w:t>
      </w:r>
      <w:r>
        <w:rPr>
          <w:color w:val="auto"/>
          <w:sz w:val="32"/>
          <w:szCs w:val="32"/>
        </w:rPr>
        <w:fldChar w:fldCharType="end"/>
      </w:r>
      <w:r>
        <w:rPr>
          <w:rStyle w:val="24"/>
          <w:color w:val="auto"/>
          <w:sz w:val="32"/>
          <w:szCs w:val="32"/>
        </w:rPr>
        <w:fldChar w:fldCharType="end"/>
      </w:r>
    </w:p>
    <w:p>
      <w:pPr>
        <w:pStyle w:val="13"/>
        <w:tabs>
          <w:tab w:val="right" w:leader="dot" w:pos="8296"/>
        </w:tabs>
        <w:rPr>
          <w:color w:val="auto"/>
          <w:sz w:val="30"/>
          <w:szCs w:val="30"/>
        </w:rPr>
      </w:pPr>
      <w:r>
        <w:rPr>
          <w:rStyle w:val="24"/>
          <w:color w:val="auto"/>
          <w:sz w:val="32"/>
          <w:szCs w:val="32"/>
        </w:rPr>
        <w:fldChar w:fldCharType="begin"/>
      </w:r>
      <w:r>
        <w:rPr>
          <w:rStyle w:val="24"/>
          <w:color w:val="auto"/>
          <w:sz w:val="32"/>
          <w:szCs w:val="32"/>
        </w:rPr>
        <w:instrText xml:space="preserve"> </w:instrText>
      </w:r>
      <w:r>
        <w:rPr>
          <w:color w:val="auto"/>
          <w:sz w:val="32"/>
          <w:szCs w:val="32"/>
        </w:rPr>
        <w:instrText xml:space="preserve">HYPERLINK \l "_Toc468224852"</w:instrText>
      </w:r>
      <w:r>
        <w:rPr>
          <w:rStyle w:val="24"/>
          <w:color w:val="auto"/>
          <w:sz w:val="32"/>
          <w:szCs w:val="32"/>
        </w:rPr>
        <w:instrText xml:space="preserve"> </w:instrText>
      </w:r>
      <w:r>
        <w:rPr>
          <w:rStyle w:val="24"/>
          <w:color w:val="auto"/>
          <w:sz w:val="32"/>
          <w:szCs w:val="32"/>
        </w:rPr>
        <w:fldChar w:fldCharType="separate"/>
      </w:r>
      <w:r>
        <w:rPr>
          <w:rStyle w:val="24"/>
          <w:rFonts w:hint="eastAsia"/>
          <w:color w:val="auto"/>
          <w:sz w:val="32"/>
          <w:szCs w:val="32"/>
        </w:rPr>
        <w:t>附：鹿城区老龄事业发展“十三五”规划重点项目一览表</w:t>
      </w:r>
      <w:r>
        <w:rPr>
          <w:color w:val="auto"/>
          <w:sz w:val="32"/>
          <w:szCs w:val="32"/>
        </w:rPr>
        <w:tab/>
      </w:r>
      <w:r>
        <w:rPr>
          <w:color w:val="auto"/>
          <w:sz w:val="32"/>
          <w:szCs w:val="32"/>
        </w:rPr>
        <w:fldChar w:fldCharType="begin"/>
      </w:r>
      <w:r>
        <w:rPr>
          <w:color w:val="auto"/>
          <w:sz w:val="32"/>
          <w:szCs w:val="32"/>
        </w:rPr>
        <w:instrText xml:space="preserve"> PAGEREF _Toc468224852 \h </w:instrText>
      </w:r>
      <w:r>
        <w:rPr>
          <w:color w:val="auto"/>
          <w:sz w:val="32"/>
          <w:szCs w:val="32"/>
        </w:rPr>
        <w:fldChar w:fldCharType="separate"/>
      </w:r>
      <w:r>
        <w:rPr>
          <w:color w:val="auto"/>
          <w:sz w:val="32"/>
          <w:szCs w:val="32"/>
        </w:rPr>
        <w:t>37</w:t>
      </w:r>
      <w:r>
        <w:rPr>
          <w:color w:val="auto"/>
          <w:sz w:val="32"/>
          <w:szCs w:val="32"/>
        </w:rPr>
        <w:fldChar w:fldCharType="end"/>
      </w:r>
      <w:r>
        <w:rPr>
          <w:rStyle w:val="24"/>
          <w:color w:val="auto"/>
          <w:sz w:val="32"/>
          <w:szCs w:val="32"/>
        </w:rPr>
        <w:fldChar w:fldCharType="end"/>
      </w:r>
    </w:p>
    <w:p>
      <w:pPr>
        <w:rPr>
          <w:color w:val="auto"/>
        </w:rPr>
      </w:pPr>
      <w:r>
        <w:rPr>
          <w:color w:val="auto"/>
          <w:sz w:val="30"/>
          <w:szCs w:val="30"/>
        </w:rPr>
        <w:fldChar w:fldCharType="end"/>
      </w:r>
    </w:p>
    <w:p>
      <w:pPr>
        <w:pStyle w:val="2"/>
        <w:spacing w:line="520" w:lineRule="atLeast"/>
        <w:rPr>
          <w:rFonts w:ascii="宋体" w:hAnsi="宋体"/>
          <w:color w:val="auto"/>
        </w:rPr>
        <w:sectPr>
          <w:headerReference r:id="rId7" w:type="default"/>
          <w:footerReference r:id="rId8" w:type="default"/>
          <w:pgSz w:w="11906" w:h="16838"/>
          <w:pgMar w:top="1440" w:right="1800" w:bottom="1440" w:left="1800" w:header="851" w:footer="992" w:gutter="0"/>
          <w:pgNumType w:start="1"/>
          <w:cols w:space="720" w:num="1"/>
          <w:docGrid w:type="lines" w:linePitch="312" w:charSpace="0"/>
        </w:sectPr>
      </w:pPr>
      <w:bookmarkStart w:id="2" w:name="_Toc6599"/>
      <w:bookmarkStart w:id="3" w:name="_Toc14809"/>
      <w:bookmarkStart w:id="4" w:name="_Toc445976887"/>
    </w:p>
    <w:p>
      <w:pPr>
        <w:pStyle w:val="2"/>
        <w:spacing w:line="520" w:lineRule="atLeast"/>
        <w:rPr>
          <w:rFonts w:ascii="宋体" w:hAnsi="宋体"/>
          <w:color w:val="auto"/>
        </w:rPr>
      </w:pPr>
      <w:bookmarkStart w:id="5" w:name="_Toc468224823"/>
      <w:r>
        <w:rPr>
          <w:rFonts w:hint="eastAsia" w:ascii="宋体" w:hAnsi="宋体"/>
          <w:color w:val="auto"/>
        </w:rPr>
        <w:t>前  言</w:t>
      </w:r>
      <w:bookmarkEnd w:id="2"/>
      <w:bookmarkEnd w:id="3"/>
      <w:bookmarkEnd w:id="4"/>
      <w:bookmarkEnd w:id="5"/>
    </w:p>
    <w:p>
      <w:pPr>
        <w:spacing w:line="520" w:lineRule="atLeast"/>
        <w:ind w:firstLine="640" w:firstLineChars="200"/>
        <w:rPr>
          <w:rFonts w:ascii="仿宋_GB2312" w:hAnsi="宋体" w:eastAsia="仿宋_GB2312"/>
          <w:color w:val="auto"/>
          <w:sz w:val="32"/>
          <w:szCs w:val="28"/>
        </w:rPr>
      </w:pPr>
      <w:r>
        <w:rPr>
          <w:rFonts w:hint="eastAsia" w:ascii="仿宋_GB2312" w:hAnsi="宋体" w:eastAsia="仿宋_GB2312"/>
          <w:color w:val="auto"/>
          <w:sz w:val="32"/>
          <w:szCs w:val="28"/>
        </w:rPr>
        <w:t>“十三五”时期是全面建成小康社会的关键时期，党中央、国务院高度重视人口老龄化问题，指出人口老龄化事关国家发展全局，事关亿万百姓福祉，要求立足当前、着眼长远，加强顶层设计，做到及时应对、科学应对、综合应对。鹿城区作为温州市的中心城区，人口老龄化程度较高，2015年末全区60周岁以上老年人口有14.4617万人，占全区总人口的比重达到19.46%</w:t>
      </w:r>
      <w:r>
        <w:rPr>
          <w:rStyle w:val="25"/>
          <w:rFonts w:hint="eastAsia" w:ascii="仿宋_GB2312" w:hAnsi="宋体" w:eastAsia="仿宋_GB2312"/>
          <w:color w:val="auto"/>
          <w:sz w:val="32"/>
          <w:szCs w:val="28"/>
        </w:rPr>
        <w:footnoteReference w:id="0"/>
      </w:r>
      <w:r>
        <w:rPr>
          <w:rFonts w:hint="eastAsia" w:ascii="仿宋_GB2312" w:hAnsi="宋体" w:eastAsia="仿宋_GB2312"/>
          <w:color w:val="auto"/>
          <w:sz w:val="32"/>
          <w:szCs w:val="28"/>
        </w:rPr>
        <w:t>，是全市老龄化比例最高地区。</w:t>
      </w:r>
    </w:p>
    <w:p>
      <w:pPr>
        <w:spacing w:line="520" w:lineRule="atLeast"/>
        <w:ind w:firstLine="640" w:firstLineChars="200"/>
        <w:rPr>
          <w:rFonts w:ascii="仿宋_GB2312" w:hAnsi="宋体" w:eastAsia="仿宋_GB2312"/>
          <w:color w:val="auto"/>
          <w:sz w:val="32"/>
          <w:szCs w:val="28"/>
        </w:rPr>
      </w:pPr>
      <w:r>
        <w:rPr>
          <w:rFonts w:hint="eastAsia" w:ascii="仿宋_GB2312" w:hAnsi="宋体" w:eastAsia="仿宋_GB2312"/>
          <w:color w:val="auto"/>
          <w:sz w:val="32"/>
          <w:szCs w:val="28"/>
        </w:rPr>
        <w:t>为此，按照中央和省市有关老龄事业发展系列文件的精神要求，根据《鹿城区国民经济和社会发展第十三个五年规划纲要》，结合鹿城区人口老龄化的特点和趋势，编制《鹿城区老龄事业发展“十三五”规划》。</w:t>
      </w:r>
    </w:p>
    <w:p>
      <w:pPr>
        <w:spacing w:line="520" w:lineRule="atLeast"/>
        <w:ind w:firstLine="640" w:firstLineChars="200"/>
        <w:rPr>
          <w:rFonts w:ascii="仿宋_GB2312" w:hAnsi="宋体" w:eastAsia="仿宋_GB2312"/>
          <w:color w:val="auto"/>
          <w:sz w:val="32"/>
          <w:szCs w:val="28"/>
        </w:rPr>
      </w:pPr>
      <w:r>
        <w:rPr>
          <w:rFonts w:hint="eastAsia" w:ascii="仿宋_GB2312" w:hAnsi="宋体" w:eastAsia="仿宋_GB2312"/>
          <w:color w:val="auto"/>
          <w:sz w:val="32"/>
          <w:szCs w:val="28"/>
        </w:rPr>
        <w:t>《规划》将回顾“十二五”鹿城区老龄事业发展成就，研判“十三五”发展环境和趋势，明确未来五年我区老龄事业发展的指导思想、战略定位、主要任务、重点项目和保障措施。《规划》是“十三五”时期我区老龄事业发展的纲领性、指导性文件。</w:t>
      </w:r>
    </w:p>
    <w:p>
      <w:pPr>
        <w:spacing w:line="520" w:lineRule="atLeast"/>
        <w:ind w:firstLine="643" w:firstLineChars="200"/>
        <w:rPr>
          <w:rFonts w:ascii="仿宋_GB2312" w:hAnsi="宋体" w:eastAsia="仿宋_GB2312"/>
          <w:color w:val="auto"/>
          <w:sz w:val="32"/>
          <w:szCs w:val="28"/>
        </w:rPr>
      </w:pPr>
      <w:r>
        <w:rPr>
          <w:rFonts w:hint="eastAsia" w:ascii="仿宋_GB2312" w:hAnsi="宋体" w:eastAsia="仿宋_GB2312"/>
          <w:b/>
          <w:color w:val="auto"/>
          <w:sz w:val="32"/>
          <w:szCs w:val="28"/>
        </w:rPr>
        <w:t>规划范围：</w:t>
      </w:r>
      <w:r>
        <w:rPr>
          <w:rFonts w:hint="eastAsia" w:ascii="仿宋_GB2312" w:hAnsi="宋体" w:eastAsia="仿宋_GB2312"/>
          <w:color w:val="auto"/>
          <w:sz w:val="32"/>
          <w:szCs w:val="28"/>
        </w:rPr>
        <w:t>鹿城区行政区划范围</w:t>
      </w:r>
    </w:p>
    <w:p>
      <w:pPr>
        <w:ind w:firstLine="643" w:firstLineChars="200"/>
        <w:rPr>
          <w:rFonts w:ascii="仿宋_GB2312" w:hAnsi="仿宋" w:eastAsia="仿宋_GB2312" w:cs="宋体"/>
          <w:color w:val="auto"/>
          <w:kern w:val="0"/>
          <w:sz w:val="32"/>
          <w:szCs w:val="32"/>
          <w:lang w:val="zh-CN"/>
        </w:rPr>
      </w:pPr>
      <w:bookmarkStart w:id="6" w:name="_Toc445976888"/>
      <w:bookmarkStart w:id="7" w:name="_Toc17010"/>
      <w:r>
        <w:rPr>
          <w:rFonts w:hint="eastAsia" w:ascii="仿宋_GB2312" w:hAnsi="仿宋" w:eastAsia="仿宋_GB2312" w:cs="宋体"/>
          <w:b/>
          <w:color w:val="auto"/>
          <w:kern w:val="0"/>
          <w:sz w:val="32"/>
          <w:szCs w:val="32"/>
          <w:lang w:val="zh-CN"/>
        </w:rPr>
        <w:t>规划期限：</w:t>
      </w:r>
      <w:r>
        <w:rPr>
          <w:rFonts w:hint="eastAsia" w:ascii="仿宋_GB2312" w:hAnsi="仿宋" w:eastAsia="仿宋_GB2312" w:cs="宋体"/>
          <w:color w:val="auto"/>
          <w:kern w:val="0"/>
          <w:sz w:val="32"/>
          <w:szCs w:val="32"/>
          <w:lang w:val="zh-CN"/>
        </w:rPr>
        <w:t>2016-2020年。</w:t>
      </w:r>
    </w:p>
    <w:p>
      <w:pPr>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规划依据：</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--总体依据：</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1、《中华人民共和国老年人权益保障法》；</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、《温州市国民经济和社会发展第十三个五年规划</w:t>
      </w:r>
      <w:r>
        <w:rPr>
          <w:rFonts w:hint="eastAsia" w:ascii="仿宋_GB2312" w:hAnsi="仿宋" w:eastAsia="仿宋_GB2312"/>
          <w:color w:val="auto"/>
          <w:sz w:val="32"/>
          <w:szCs w:val="32"/>
          <w:lang w:eastAsia="zh-CN"/>
        </w:rPr>
        <w:t>纲要</w:t>
      </w:r>
      <w:r>
        <w:rPr>
          <w:rFonts w:hint="eastAsia" w:ascii="仿宋_GB2312" w:hAnsi="仿宋" w:eastAsia="仿宋_GB2312"/>
          <w:color w:val="auto"/>
          <w:sz w:val="32"/>
          <w:szCs w:val="32"/>
        </w:rPr>
        <w:t>》；</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、《温州市民政（移民）事业发展“十三五”规划》；</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、《鹿城区国民经济和社会发展第十三个五年规划纲要》；</w:t>
      </w:r>
    </w:p>
    <w:p>
      <w:pPr>
        <w:rPr>
          <w:rFonts w:ascii="仿宋_GB2312" w:hAnsi="仿宋" w:eastAsia="仿宋_GB2312"/>
          <w:color w:val="auto"/>
          <w:sz w:val="32"/>
          <w:szCs w:val="32"/>
        </w:rPr>
      </w:pP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---各项主要任务编制依据：</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039" w:type="dxa"/>
            <w:vAlign w:val="center"/>
          </w:tcPr>
          <w:p>
            <w:pPr>
              <w:pStyle w:val="6"/>
              <w:numPr>
                <w:ilvl w:val="0"/>
                <w:numId w:val="1"/>
              </w:numPr>
              <w:spacing w:line="480" w:lineRule="exact"/>
              <w:jc w:val="both"/>
              <w:rPr>
                <w:rFonts w:ascii="宋体" w:hAnsi="宋体"/>
                <w:color w:val="auto"/>
                <w:sz w:val="24"/>
              </w:rPr>
            </w:pPr>
            <w:r>
              <w:rPr>
                <w:rFonts w:hint="eastAsia" w:ascii="宋体" w:hAnsi="宋体"/>
                <w:color w:val="auto"/>
                <w:sz w:val="24"/>
              </w:rPr>
              <w:t>提高老年人经济供养水平：</w:t>
            </w:r>
          </w:p>
          <w:p>
            <w:pPr>
              <w:pStyle w:val="6"/>
              <w:spacing w:line="480" w:lineRule="exact"/>
              <w:jc w:val="both"/>
              <w:rPr>
                <w:rFonts w:ascii="宋体" w:hAnsi="宋体"/>
                <w:color w:val="auto"/>
                <w:sz w:val="24"/>
              </w:rPr>
            </w:pPr>
            <w:r>
              <w:rPr>
                <w:rFonts w:hint="eastAsia" w:ascii="宋体" w:hAnsi="宋体"/>
                <w:color w:val="auto"/>
                <w:sz w:val="24"/>
              </w:rPr>
              <w:t>《中共中央国务院关于打赢脱贫攻坚战的决定》；《国务院关于加快发展养老服务业的若干意见》（</w:t>
            </w:r>
            <w:r>
              <w:rPr>
                <w:rFonts w:ascii="宋体" w:hAnsi="宋体"/>
                <w:color w:val="auto"/>
                <w:sz w:val="24"/>
              </w:rPr>
              <w:t>国发〔2013〕35号</w:t>
            </w:r>
            <w:r>
              <w:rPr>
                <w:rFonts w:hint="eastAsia" w:ascii="宋体" w:hAnsi="宋体"/>
                <w:color w:val="auto"/>
                <w:sz w:val="24"/>
              </w:rPr>
              <w:t>）；《国务院关于进一步健全特困人员救助供养制度的意见》（国发〔</w:t>
            </w:r>
            <w:r>
              <w:rPr>
                <w:rFonts w:ascii="宋体" w:hAnsi="宋体"/>
                <w:color w:val="auto"/>
                <w:sz w:val="24"/>
              </w:rPr>
              <w:t>2016</w:t>
            </w:r>
            <w:r>
              <w:rPr>
                <w:rFonts w:hint="eastAsia" w:ascii="宋体" w:hAnsi="宋体"/>
                <w:color w:val="auto"/>
                <w:sz w:val="24"/>
              </w:rPr>
              <w:t>〕</w:t>
            </w:r>
            <w:r>
              <w:rPr>
                <w:rFonts w:ascii="宋体" w:hAnsi="宋体"/>
                <w:color w:val="auto"/>
                <w:sz w:val="24"/>
              </w:rPr>
              <w:t>14</w:t>
            </w:r>
            <w:r>
              <w:rPr>
                <w:rFonts w:hint="eastAsia" w:ascii="宋体" w:hAnsi="宋体"/>
                <w:color w:val="auto"/>
                <w:sz w:val="24"/>
              </w:rPr>
              <w:t>号）；《中共浙江省委关于补短板的若干意见》（2016年4月27日）；《温州市人力资源和社会保障事业发展“十三五”规划》</w:t>
            </w:r>
            <w:r>
              <w:rPr>
                <w:rFonts w:hint="eastAsia" w:ascii="宋体" w:hAnsi="宋体"/>
                <w:color w:val="auto"/>
                <w:sz w:val="24"/>
                <w:lang w:eastAsia="zh-CN"/>
              </w:rPr>
              <w:t>（温发改规划</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2016</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275号）</w:t>
            </w:r>
            <w:r>
              <w:rPr>
                <w:rFonts w:hint="eastAsia" w:ascii="宋体" w:hAnsi="宋体"/>
                <w:color w:val="auto"/>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trPr>
        <w:tc>
          <w:tcPr>
            <w:tcW w:w="9039" w:type="dxa"/>
            <w:vAlign w:val="center"/>
          </w:tcPr>
          <w:p>
            <w:pPr>
              <w:numPr>
                <w:ilvl w:val="0"/>
                <w:numId w:val="1"/>
              </w:numPr>
              <w:spacing w:line="480" w:lineRule="exact"/>
              <w:rPr>
                <w:rFonts w:ascii="宋体" w:hAnsi="宋体"/>
                <w:color w:val="auto"/>
                <w:sz w:val="24"/>
              </w:rPr>
            </w:pPr>
            <w:r>
              <w:rPr>
                <w:rFonts w:hint="eastAsia" w:ascii="宋体" w:hAnsi="宋体"/>
                <w:color w:val="auto"/>
                <w:sz w:val="24"/>
              </w:rPr>
              <w:t>加快养老服务创新发展：</w:t>
            </w:r>
          </w:p>
          <w:p>
            <w:pPr>
              <w:spacing w:line="480" w:lineRule="exact"/>
              <w:rPr>
                <w:rFonts w:ascii="宋体" w:hAnsi="宋体"/>
                <w:color w:val="auto"/>
                <w:sz w:val="24"/>
              </w:rPr>
            </w:pPr>
            <w:r>
              <w:rPr>
                <w:rFonts w:hint="eastAsia" w:ascii="宋体" w:hAnsi="宋体"/>
                <w:color w:val="auto"/>
                <w:sz w:val="24"/>
              </w:rPr>
              <w:t>国务院十部委《关于鼓励民间资本参与养老服务业发展的实施意见》（民发〔</w:t>
            </w:r>
            <w:r>
              <w:rPr>
                <w:rFonts w:ascii="宋体" w:hAnsi="宋体"/>
                <w:color w:val="auto"/>
                <w:sz w:val="24"/>
              </w:rPr>
              <w:t>2015</w:t>
            </w:r>
            <w:r>
              <w:rPr>
                <w:rFonts w:hint="eastAsia" w:ascii="宋体" w:hAnsi="宋体"/>
                <w:color w:val="auto"/>
                <w:sz w:val="24"/>
              </w:rPr>
              <w:t>〕</w:t>
            </w:r>
            <w:r>
              <w:rPr>
                <w:rFonts w:ascii="宋体" w:hAnsi="宋体"/>
                <w:color w:val="auto"/>
                <w:sz w:val="24"/>
              </w:rPr>
              <w:t>33</w:t>
            </w:r>
            <w:r>
              <w:rPr>
                <w:rFonts w:hint="eastAsia" w:ascii="宋体" w:hAnsi="宋体"/>
                <w:color w:val="auto"/>
                <w:sz w:val="24"/>
              </w:rPr>
              <w:t>号）；《国务院关于加快发展养老服务业的若干意见》（</w:t>
            </w:r>
            <w:r>
              <w:rPr>
                <w:rFonts w:ascii="宋体" w:hAnsi="宋体"/>
                <w:color w:val="auto"/>
                <w:sz w:val="24"/>
              </w:rPr>
              <w:t>国发〔2013〕35号</w:t>
            </w:r>
            <w:r>
              <w:rPr>
                <w:rFonts w:hint="eastAsia" w:ascii="宋体" w:hAnsi="宋体"/>
                <w:color w:val="auto"/>
                <w:sz w:val="24"/>
              </w:rPr>
              <w:t>）；</w:t>
            </w:r>
            <w:r>
              <w:rPr>
                <w:rFonts w:ascii="宋体" w:hAnsi="宋体"/>
                <w:color w:val="auto"/>
                <w:sz w:val="24"/>
              </w:rPr>
              <w:t>《关于推进医疗卫生与养老服务相结合指导意见》(国办发〔2015〕84号</w:t>
            </w:r>
            <w:r>
              <w:rPr>
                <w:rFonts w:hint="eastAsia" w:ascii="宋体" w:hAnsi="宋体"/>
                <w:color w:val="auto"/>
                <w:sz w:val="24"/>
              </w:rPr>
              <w:t>)；《中共浙江省委关于补短板的若干意见》（2016年4月27日）；《温州市人民政府关于做好养老服务业综合改革试点加快推进我市养老服务业发展的实施意见》（温政发〔2014〕68号）；《温州市民政（移民）事业发展“十三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9039" w:type="dxa"/>
            <w:vAlign w:val="center"/>
          </w:tcPr>
          <w:p>
            <w:pPr>
              <w:pStyle w:val="6"/>
              <w:numPr>
                <w:ilvl w:val="0"/>
                <w:numId w:val="1"/>
              </w:numPr>
              <w:spacing w:line="480" w:lineRule="exact"/>
              <w:jc w:val="both"/>
              <w:rPr>
                <w:rFonts w:ascii="宋体" w:hAnsi="宋体"/>
                <w:color w:val="auto"/>
                <w:sz w:val="24"/>
              </w:rPr>
            </w:pPr>
            <w:r>
              <w:rPr>
                <w:rFonts w:hint="eastAsia" w:ascii="宋体" w:hAnsi="宋体"/>
                <w:color w:val="auto"/>
                <w:sz w:val="24"/>
              </w:rPr>
              <w:t>切实加强老年人健康服务：</w:t>
            </w:r>
          </w:p>
          <w:p>
            <w:pPr>
              <w:pStyle w:val="6"/>
              <w:spacing w:line="480" w:lineRule="exact"/>
              <w:jc w:val="both"/>
              <w:rPr>
                <w:rFonts w:ascii="宋体" w:hAnsi="宋体"/>
                <w:color w:val="auto"/>
                <w:sz w:val="24"/>
              </w:rPr>
            </w:pPr>
            <w:r>
              <w:rPr>
                <w:rFonts w:hint="eastAsia" w:ascii="宋体" w:hAnsi="宋体"/>
                <w:color w:val="auto"/>
                <w:sz w:val="24"/>
              </w:rPr>
              <w:t>全国老龄办、民政部、财政部、中国保监会4部门《关于开展老年人意外伤害保险工作的指导意见》；《国务院办公厅关于印发全国医疗卫生服务体系规划纲要（2015-2020年）的通知》（国办发〔</w:t>
            </w:r>
            <w:r>
              <w:rPr>
                <w:rFonts w:ascii="宋体" w:hAnsi="宋体"/>
                <w:color w:val="auto"/>
                <w:sz w:val="24"/>
              </w:rPr>
              <w:t>2015</w:t>
            </w:r>
            <w:r>
              <w:rPr>
                <w:rFonts w:hint="eastAsia" w:ascii="宋体" w:hAnsi="宋体"/>
                <w:color w:val="auto"/>
                <w:sz w:val="24"/>
              </w:rPr>
              <w:t>〕14号）；《</w:t>
            </w:r>
            <w:r>
              <w:rPr>
                <w:rFonts w:ascii="宋体" w:hAnsi="宋体"/>
                <w:color w:val="auto"/>
                <w:sz w:val="24"/>
              </w:rPr>
              <w:t>关于推进医疗卫生与养老服务相结合的指导意见</w:t>
            </w:r>
            <w:r>
              <w:rPr>
                <w:rFonts w:hint="eastAsia" w:ascii="宋体" w:hAnsi="宋体"/>
                <w:color w:val="auto"/>
                <w:sz w:val="24"/>
              </w:rPr>
              <w:t>》（国办发〔</w:t>
            </w:r>
            <w:r>
              <w:rPr>
                <w:rFonts w:ascii="宋体" w:hAnsi="宋体"/>
                <w:color w:val="auto"/>
                <w:sz w:val="24"/>
              </w:rPr>
              <w:t>2015</w:t>
            </w:r>
            <w:r>
              <w:rPr>
                <w:rFonts w:hint="eastAsia" w:ascii="宋体" w:hAnsi="宋体"/>
                <w:color w:val="auto"/>
                <w:sz w:val="24"/>
              </w:rPr>
              <w:t>〕84号）；《国务院关于促进健康服务业发展的若干意见》（国发〔</w:t>
            </w:r>
            <w:r>
              <w:rPr>
                <w:rFonts w:ascii="宋体" w:hAnsi="宋体"/>
                <w:color w:val="auto"/>
                <w:sz w:val="24"/>
              </w:rPr>
              <w:t>201</w:t>
            </w:r>
            <w:r>
              <w:rPr>
                <w:rFonts w:hint="eastAsia" w:ascii="宋体" w:hAnsi="宋体"/>
                <w:color w:val="auto"/>
                <w:sz w:val="24"/>
              </w:rPr>
              <w:t>3〕40号）；</w:t>
            </w:r>
            <w:r>
              <w:rPr>
                <w:rFonts w:ascii="宋体" w:hAnsi="宋体"/>
                <w:color w:val="auto"/>
                <w:sz w:val="24"/>
              </w:rPr>
              <w:t>《国务院关于积极推进“互联网+”行动的指导意见</w:t>
            </w:r>
            <w:r>
              <w:rPr>
                <w:rFonts w:hint="eastAsia" w:ascii="宋体" w:hAnsi="宋体"/>
                <w:color w:val="auto"/>
                <w:sz w:val="24"/>
              </w:rPr>
              <w:t>》（国发〔</w:t>
            </w:r>
            <w:r>
              <w:rPr>
                <w:rFonts w:ascii="宋体" w:hAnsi="宋体"/>
                <w:color w:val="auto"/>
                <w:sz w:val="24"/>
              </w:rPr>
              <w:t>2015</w:t>
            </w:r>
            <w:r>
              <w:rPr>
                <w:rFonts w:hint="eastAsia" w:ascii="宋体" w:hAnsi="宋体"/>
                <w:color w:val="auto"/>
                <w:sz w:val="24"/>
              </w:rPr>
              <w:t>〕40号）；《中共浙江省委关于补短板的若干意见》（2016年4月27日）；《关于推进医疗卫生与养老服务融</w:t>
            </w:r>
            <w:r>
              <w:rPr>
                <w:rFonts w:hint="eastAsia" w:ascii="宋体" w:hAnsi="宋体"/>
                <w:color w:val="auto"/>
                <w:sz w:val="24"/>
                <w:u w:val="none"/>
                <w:lang w:eastAsia="zh-CN"/>
              </w:rPr>
              <w:t>合</w:t>
            </w:r>
            <w:r>
              <w:rPr>
                <w:rFonts w:hint="eastAsia" w:ascii="宋体" w:hAnsi="宋体"/>
                <w:color w:val="auto"/>
                <w:sz w:val="24"/>
              </w:rPr>
              <w:t>发展的实施意见》（浙民福〔</w:t>
            </w:r>
            <w:r>
              <w:rPr>
                <w:rFonts w:ascii="宋体" w:hAnsi="宋体"/>
                <w:color w:val="auto"/>
                <w:sz w:val="24"/>
              </w:rPr>
              <w:t>201</w:t>
            </w:r>
            <w:r>
              <w:rPr>
                <w:rFonts w:hint="eastAsia" w:ascii="宋体" w:hAnsi="宋体"/>
                <w:color w:val="auto"/>
                <w:sz w:val="24"/>
              </w:rPr>
              <w:t>4〕216号）；《温州市人民政府关于做好养老服务业综合改革试点加快推进我市养老服务业发展的实施意见》（温政发〔</w:t>
            </w:r>
            <w:r>
              <w:rPr>
                <w:rFonts w:ascii="宋体" w:hAnsi="宋体"/>
                <w:color w:val="auto"/>
                <w:sz w:val="24"/>
              </w:rPr>
              <w:t>201</w:t>
            </w:r>
            <w:r>
              <w:rPr>
                <w:rFonts w:hint="eastAsia" w:ascii="宋体" w:hAnsi="宋体"/>
                <w:color w:val="auto"/>
                <w:sz w:val="24"/>
              </w:rPr>
              <w:t>4〕68号）；《关于开展老年人意外伤害保险工作的通知》（温老办〔</w:t>
            </w:r>
            <w:r>
              <w:rPr>
                <w:rFonts w:ascii="宋体" w:hAnsi="宋体"/>
                <w:color w:val="auto"/>
                <w:sz w:val="24"/>
              </w:rPr>
              <w:t>201</w:t>
            </w:r>
            <w:r>
              <w:rPr>
                <w:rFonts w:hint="eastAsia" w:ascii="宋体" w:hAnsi="宋体"/>
                <w:color w:val="auto"/>
                <w:sz w:val="24"/>
              </w:rPr>
              <w:t>4〕13号）；《温州市民政（移民）事业发展“十三五”规划》；《温州</w:t>
            </w:r>
            <w:r>
              <w:rPr>
                <w:rFonts w:ascii="宋体" w:hAnsi="宋体"/>
                <w:color w:val="auto"/>
                <w:sz w:val="24"/>
              </w:rPr>
              <w:t>市人</w:t>
            </w:r>
            <w:r>
              <w:rPr>
                <w:rFonts w:hint="eastAsia" w:ascii="宋体" w:hAnsi="宋体"/>
                <w:color w:val="auto"/>
                <w:sz w:val="24"/>
                <w:lang w:eastAsia="zh-CN"/>
              </w:rPr>
              <w:t>力资源和社会保障事业发展</w:t>
            </w:r>
            <w:r>
              <w:rPr>
                <w:rFonts w:hint="eastAsia" w:ascii="宋体" w:hAnsi="宋体"/>
                <w:color w:val="auto"/>
                <w:sz w:val="24"/>
              </w:rPr>
              <w:t>“</w:t>
            </w:r>
            <w:r>
              <w:rPr>
                <w:rFonts w:ascii="宋体" w:hAnsi="宋体"/>
                <w:color w:val="auto"/>
                <w:sz w:val="24"/>
              </w:rPr>
              <w:t>十三五</w:t>
            </w:r>
            <w:r>
              <w:rPr>
                <w:rFonts w:hint="eastAsia" w:ascii="宋体" w:hAnsi="宋体"/>
                <w:color w:val="auto"/>
                <w:sz w:val="24"/>
              </w:rPr>
              <w:t>”</w:t>
            </w:r>
            <w:r>
              <w:rPr>
                <w:rFonts w:ascii="宋体" w:hAnsi="宋体"/>
                <w:color w:val="auto"/>
                <w:sz w:val="24"/>
              </w:rPr>
              <w:t>规划</w:t>
            </w:r>
            <w:r>
              <w:rPr>
                <w:rFonts w:hint="eastAsia" w:ascii="宋体" w:hAnsi="宋体"/>
                <w:color w:val="auto"/>
                <w:sz w:val="24"/>
              </w:rPr>
              <w:t>》</w:t>
            </w:r>
            <w:r>
              <w:rPr>
                <w:rFonts w:hint="eastAsia" w:ascii="宋体" w:hAnsi="宋体"/>
                <w:color w:val="auto"/>
                <w:sz w:val="24"/>
                <w:lang w:eastAsia="zh-CN"/>
              </w:rPr>
              <w:t>（温发改规划</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2016</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275号）</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9039" w:type="dxa"/>
            <w:vAlign w:val="center"/>
          </w:tcPr>
          <w:p>
            <w:pPr>
              <w:pStyle w:val="6"/>
              <w:numPr>
                <w:ilvl w:val="0"/>
                <w:numId w:val="1"/>
              </w:numPr>
              <w:spacing w:line="480" w:lineRule="exact"/>
              <w:jc w:val="both"/>
              <w:rPr>
                <w:rFonts w:ascii="宋体" w:hAnsi="宋体"/>
                <w:color w:val="auto"/>
                <w:sz w:val="24"/>
              </w:rPr>
            </w:pPr>
            <w:r>
              <w:rPr>
                <w:rFonts w:hint="eastAsia" w:ascii="宋体" w:hAnsi="宋体"/>
                <w:color w:val="auto"/>
                <w:sz w:val="24"/>
              </w:rPr>
              <w:t>优化老年人居环境：</w:t>
            </w:r>
          </w:p>
          <w:p>
            <w:pPr>
              <w:pStyle w:val="6"/>
              <w:spacing w:line="480" w:lineRule="exact"/>
              <w:jc w:val="both"/>
              <w:rPr>
                <w:rFonts w:ascii="宋体" w:hAnsi="宋体"/>
                <w:color w:val="auto"/>
                <w:sz w:val="24"/>
              </w:rPr>
            </w:pPr>
            <w:r>
              <w:rPr>
                <w:rFonts w:hint="eastAsia" w:ascii="宋体" w:hAnsi="宋体"/>
                <w:color w:val="auto"/>
                <w:sz w:val="24"/>
              </w:rPr>
              <w:t>《中共浙江省委关于补短板的若干意见》（2016年4月27日）；《关于加快推动生活方式绿色化的实施意见》（</w:t>
            </w:r>
            <w:r>
              <w:rPr>
                <w:rFonts w:ascii="宋体" w:hAnsi="宋体"/>
                <w:color w:val="auto"/>
                <w:sz w:val="24"/>
              </w:rPr>
              <w:t>环发</w:t>
            </w:r>
            <w:r>
              <w:rPr>
                <w:rFonts w:hint="eastAsia" w:ascii="宋体" w:hAnsi="宋体"/>
                <w:color w:val="auto"/>
                <w:sz w:val="24"/>
              </w:rPr>
              <w:t>〔</w:t>
            </w:r>
            <w:r>
              <w:rPr>
                <w:rFonts w:ascii="宋体" w:hAnsi="宋体"/>
                <w:color w:val="auto"/>
                <w:sz w:val="24"/>
              </w:rPr>
              <w:t>2015</w:t>
            </w:r>
            <w:r>
              <w:rPr>
                <w:rFonts w:hint="eastAsia" w:ascii="宋体" w:hAnsi="宋体"/>
                <w:color w:val="auto"/>
                <w:sz w:val="24"/>
              </w:rPr>
              <w:t>〕</w:t>
            </w:r>
            <w:r>
              <w:rPr>
                <w:rFonts w:ascii="宋体" w:hAnsi="宋体"/>
                <w:color w:val="auto"/>
                <w:sz w:val="24"/>
              </w:rPr>
              <w:t>135号</w:t>
            </w:r>
            <w:r>
              <w:rPr>
                <w:rFonts w:hint="eastAsia" w:ascii="宋体" w:hAnsi="宋体"/>
                <w:color w:val="auto"/>
                <w:sz w:val="24"/>
              </w:rPr>
              <w:t>）；</w:t>
            </w:r>
            <w:r>
              <w:rPr>
                <w:rFonts w:ascii="宋体" w:hAnsi="宋体"/>
                <w:color w:val="auto"/>
                <w:sz w:val="24"/>
              </w:rPr>
              <w:t>《温州市区公共租赁住房保障办法》</w:t>
            </w:r>
            <w:r>
              <w:rPr>
                <w:rFonts w:hint="eastAsia" w:ascii="宋体" w:hAnsi="宋体"/>
                <w:color w:val="auto"/>
                <w:sz w:val="24"/>
              </w:rPr>
              <w:t>（</w:t>
            </w:r>
            <w:r>
              <w:rPr>
                <w:rFonts w:ascii="宋体" w:hAnsi="宋体"/>
                <w:color w:val="auto"/>
                <w:sz w:val="24"/>
              </w:rPr>
              <w:t>温政令147号</w:t>
            </w:r>
            <w:r>
              <w:rPr>
                <w:rFonts w:hint="eastAsia" w:ascii="宋体" w:hAnsi="宋体"/>
                <w:color w:val="auto"/>
                <w:sz w:val="24"/>
              </w:rPr>
              <w:t>）；《关于加快推动绿色建筑发展的实施意见》（</w:t>
            </w:r>
            <w:r>
              <w:rPr>
                <w:rFonts w:ascii="宋体" w:hAnsi="宋体"/>
                <w:color w:val="auto"/>
                <w:sz w:val="24"/>
              </w:rPr>
              <w:t>温政发〔2015〕6号</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9039" w:type="dxa"/>
            <w:vAlign w:val="center"/>
          </w:tcPr>
          <w:p>
            <w:pPr>
              <w:pStyle w:val="6"/>
              <w:numPr>
                <w:ilvl w:val="0"/>
                <w:numId w:val="1"/>
              </w:numPr>
              <w:spacing w:line="480" w:lineRule="exact"/>
              <w:jc w:val="both"/>
              <w:rPr>
                <w:rFonts w:ascii="宋体" w:hAnsi="宋体"/>
                <w:color w:val="auto"/>
                <w:sz w:val="24"/>
              </w:rPr>
            </w:pPr>
            <w:r>
              <w:rPr>
                <w:rFonts w:hint="eastAsia" w:ascii="宋体" w:hAnsi="宋体"/>
                <w:color w:val="auto"/>
                <w:sz w:val="24"/>
              </w:rPr>
              <w:t>建立健全老年人社会参与体系：</w:t>
            </w:r>
          </w:p>
          <w:p>
            <w:pPr>
              <w:pStyle w:val="6"/>
              <w:spacing w:line="480" w:lineRule="exact"/>
              <w:jc w:val="both"/>
              <w:rPr>
                <w:rFonts w:ascii="宋体" w:hAnsi="宋体"/>
                <w:color w:val="auto"/>
                <w:sz w:val="24"/>
              </w:rPr>
            </w:pPr>
            <w:r>
              <w:rPr>
                <w:rFonts w:hint="eastAsia" w:ascii="宋体" w:hAnsi="宋体"/>
                <w:color w:val="auto"/>
                <w:sz w:val="24"/>
              </w:rPr>
              <w:t>《中共浙江省委关于补短板的若干意见》（2016年4月27日）；《关于加强基层老年人协会规范化建设的意见》（</w:t>
            </w:r>
            <w:r>
              <w:rPr>
                <w:rFonts w:ascii="宋体" w:hAnsi="宋体"/>
                <w:color w:val="auto"/>
                <w:sz w:val="24"/>
              </w:rPr>
              <w:t>温老委〔2014〕01号</w:t>
            </w:r>
            <w:r>
              <w:rPr>
                <w:rFonts w:hint="eastAsia" w:ascii="宋体" w:hAnsi="宋体"/>
                <w:color w:val="auto"/>
                <w:sz w:val="24"/>
              </w:rPr>
              <w:t>）；《温州市人民政府关于</w:t>
            </w:r>
            <w:r>
              <w:rPr>
                <w:rFonts w:hint="eastAsia" w:ascii="宋体" w:hAnsi="宋体"/>
                <w:color w:val="auto"/>
                <w:sz w:val="24"/>
                <w:lang w:eastAsia="zh-CN"/>
              </w:rPr>
              <w:t>加快完善社会</w:t>
            </w:r>
            <w:r>
              <w:rPr>
                <w:rFonts w:hint="eastAsia" w:ascii="宋体" w:hAnsi="宋体"/>
                <w:color w:val="auto"/>
                <w:sz w:val="24"/>
              </w:rPr>
              <w:t>养老</w:t>
            </w:r>
            <w:r>
              <w:rPr>
                <w:rFonts w:hint="eastAsia" w:ascii="宋体" w:hAnsi="宋体"/>
                <w:color w:val="auto"/>
                <w:sz w:val="24"/>
                <w:lang w:eastAsia="zh-CN"/>
              </w:rPr>
              <w:t>服务体系建设</w:t>
            </w:r>
            <w:r>
              <w:rPr>
                <w:rFonts w:hint="eastAsia" w:ascii="宋体" w:hAnsi="宋体"/>
                <w:color w:val="auto"/>
                <w:sz w:val="24"/>
              </w:rPr>
              <w:t>的意见》（温政发〔2012〕29号）。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9039" w:type="dxa"/>
            <w:vAlign w:val="center"/>
          </w:tcPr>
          <w:p>
            <w:pPr>
              <w:pStyle w:val="6"/>
              <w:numPr>
                <w:ilvl w:val="0"/>
                <w:numId w:val="1"/>
              </w:numPr>
              <w:spacing w:line="480" w:lineRule="exact"/>
              <w:jc w:val="both"/>
              <w:rPr>
                <w:rFonts w:ascii="宋体" w:hAnsi="宋体"/>
                <w:color w:val="auto"/>
                <w:sz w:val="24"/>
              </w:rPr>
            </w:pPr>
            <w:r>
              <w:rPr>
                <w:rFonts w:hint="eastAsia" w:ascii="宋体" w:hAnsi="宋体"/>
                <w:color w:val="auto"/>
                <w:sz w:val="24"/>
              </w:rPr>
              <w:t>丰富老年人精神文化生活：</w:t>
            </w:r>
          </w:p>
          <w:p>
            <w:pPr>
              <w:pStyle w:val="6"/>
              <w:spacing w:line="480" w:lineRule="exact"/>
              <w:jc w:val="both"/>
              <w:rPr>
                <w:rFonts w:ascii="宋体" w:hAnsi="宋体"/>
                <w:color w:val="auto"/>
                <w:sz w:val="24"/>
              </w:rPr>
            </w:pPr>
            <w:r>
              <w:rPr>
                <w:rFonts w:hint="eastAsia" w:ascii="宋体" w:hAnsi="宋体"/>
                <w:color w:val="auto"/>
                <w:sz w:val="24"/>
              </w:rPr>
              <w:t>《</w:t>
            </w:r>
            <w:r>
              <w:rPr>
                <w:rFonts w:hint="eastAsia" w:ascii="宋体" w:hAnsi="宋体"/>
                <w:color w:val="auto"/>
                <w:sz w:val="24"/>
                <w:lang w:eastAsia="zh-CN"/>
              </w:rPr>
              <w:t>国务院办公厅关于印发老年教育发展规划（</w:t>
            </w:r>
            <w:r>
              <w:rPr>
                <w:rFonts w:hint="eastAsia" w:ascii="宋体" w:hAnsi="宋体"/>
                <w:color w:val="auto"/>
                <w:sz w:val="24"/>
                <w:lang w:val="en-US" w:eastAsia="zh-CN"/>
              </w:rPr>
              <w:t>2016—2020年）的通知》（国办发</w:t>
            </w:r>
            <w:r>
              <w:rPr>
                <w:rFonts w:hint="eastAsia" w:ascii="仿宋_GB2312" w:hAnsi="仿宋_GB2312" w:eastAsia="仿宋_GB2312" w:cs="仿宋_GB2312"/>
                <w:color w:val="auto"/>
                <w:sz w:val="24"/>
                <w:lang w:val="en-US" w:eastAsia="zh-CN"/>
              </w:rPr>
              <w:t>〔2016〕74号）</w:t>
            </w:r>
            <w:r>
              <w:rPr>
                <w:rFonts w:hint="eastAsia" w:ascii="宋体" w:hAnsi="宋体"/>
                <w:color w:val="auto"/>
                <w:sz w:val="24"/>
              </w:rPr>
              <w:t>；《中共浙江省委关于补短板的若干意见》（2016年4月27日）；《关于进一步加强老年人体育工作的实施意见》（温政办〔2013〕206号）；《温州市民政（移民）事业发展“十三五”规划》。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9039" w:type="dxa"/>
            <w:vAlign w:val="center"/>
          </w:tcPr>
          <w:p>
            <w:pPr>
              <w:pStyle w:val="6"/>
              <w:numPr>
                <w:ilvl w:val="0"/>
                <w:numId w:val="1"/>
              </w:numPr>
              <w:spacing w:line="480" w:lineRule="exact"/>
              <w:jc w:val="both"/>
              <w:rPr>
                <w:rFonts w:ascii="宋体" w:hAnsi="宋体"/>
                <w:color w:val="auto"/>
                <w:sz w:val="24"/>
              </w:rPr>
            </w:pPr>
            <w:r>
              <w:rPr>
                <w:rFonts w:hint="eastAsia" w:ascii="宋体" w:hAnsi="宋体"/>
                <w:color w:val="auto"/>
                <w:sz w:val="24"/>
              </w:rPr>
              <w:t>有效维护老年人合法权益：</w:t>
            </w:r>
          </w:p>
          <w:p>
            <w:pPr>
              <w:pStyle w:val="6"/>
              <w:spacing w:line="480" w:lineRule="exact"/>
              <w:jc w:val="both"/>
              <w:rPr>
                <w:rFonts w:ascii="宋体" w:hAnsi="宋体"/>
                <w:color w:val="auto"/>
                <w:sz w:val="24"/>
              </w:rPr>
            </w:pPr>
            <w:r>
              <w:rPr>
                <w:rFonts w:ascii="宋体" w:hAnsi="宋体"/>
                <w:color w:val="auto"/>
                <w:sz w:val="24"/>
              </w:rPr>
              <w:t>《关于进一步加强老年人优待工作的意见》</w:t>
            </w:r>
            <w:r>
              <w:rPr>
                <w:rFonts w:hint="eastAsia" w:ascii="宋体" w:hAnsi="宋体"/>
                <w:color w:val="auto"/>
                <w:sz w:val="24"/>
              </w:rPr>
              <w:t>（</w:t>
            </w:r>
            <w:r>
              <w:rPr>
                <w:rFonts w:ascii="宋体" w:hAnsi="宋体"/>
                <w:color w:val="auto"/>
                <w:sz w:val="24"/>
              </w:rPr>
              <w:t>全国老龄办发〔2013〕97号</w:t>
            </w:r>
            <w:r>
              <w:rPr>
                <w:rFonts w:hint="eastAsia" w:ascii="宋体" w:hAnsi="宋体"/>
                <w:color w:val="auto"/>
                <w:sz w:val="24"/>
              </w:rPr>
              <w:t>）；《</w:t>
            </w:r>
            <w:r>
              <w:rPr>
                <w:rFonts w:ascii="宋体" w:hAnsi="宋体"/>
                <w:color w:val="auto"/>
                <w:sz w:val="24"/>
              </w:rPr>
              <w:t>国务院办公厅关于加快发展生活性服务业促进消费结构升级的指导意见</w:t>
            </w:r>
            <w:r>
              <w:rPr>
                <w:rFonts w:hint="eastAsia" w:ascii="宋体" w:hAnsi="宋体"/>
                <w:color w:val="auto"/>
                <w:sz w:val="24"/>
              </w:rPr>
              <w:t>》（</w:t>
            </w:r>
            <w:r>
              <w:rPr>
                <w:rFonts w:ascii="宋体" w:hAnsi="宋体"/>
                <w:color w:val="auto"/>
                <w:sz w:val="24"/>
              </w:rPr>
              <w:t>国办发〔2015〕85号</w:t>
            </w:r>
            <w:r>
              <w:rPr>
                <w:rFonts w:hint="eastAsia" w:ascii="宋体" w:hAnsi="宋体"/>
                <w:color w:val="auto"/>
                <w:sz w:val="24"/>
              </w:rPr>
              <w:t>）；《中共浙江省委关于补短板的若干意见》（2016年4月27日）；《温州市实施&lt;浙江省公民权益依法保障行动计划&gt;方案》（</w:t>
            </w:r>
            <w:r>
              <w:rPr>
                <w:rFonts w:ascii="宋体" w:hAnsi="宋体"/>
                <w:color w:val="auto"/>
                <w:sz w:val="24"/>
              </w:rPr>
              <w:t>温政办〔2008〕164号</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9039" w:type="dxa"/>
            <w:vAlign w:val="center"/>
          </w:tcPr>
          <w:p>
            <w:pPr>
              <w:pStyle w:val="6"/>
              <w:numPr>
                <w:ilvl w:val="0"/>
                <w:numId w:val="1"/>
              </w:numPr>
              <w:spacing w:line="480" w:lineRule="exact"/>
              <w:jc w:val="both"/>
              <w:rPr>
                <w:rFonts w:ascii="宋体" w:hAnsi="宋体"/>
                <w:color w:val="auto"/>
                <w:sz w:val="24"/>
              </w:rPr>
            </w:pPr>
            <w:r>
              <w:rPr>
                <w:rFonts w:hint="eastAsia" w:ascii="宋体" w:hAnsi="宋体"/>
                <w:color w:val="auto"/>
                <w:sz w:val="24"/>
              </w:rPr>
              <w:t>加快老龄产业创新发展：</w:t>
            </w:r>
          </w:p>
          <w:p>
            <w:pPr>
              <w:pStyle w:val="6"/>
              <w:spacing w:line="480" w:lineRule="exact"/>
              <w:jc w:val="both"/>
              <w:rPr>
                <w:rFonts w:ascii="宋体" w:hAnsi="宋体"/>
                <w:color w:val="auto"/>
                <w:sz w:val="24"/>
              </w:rPr>
            </w:pPr>
            <w:r>
              <w:rPr>
                <w:rFonts w:hint="eastAsia" w:ascii="宋体" w:hAnsi="宋体"/>
                <w:color w:val="auto"/>
                <w:sz w:val="24"/>
              </w:rPr>
              <w:t>国务院十部委《关于鼓励民间资本参与养老服务业发展的实施意见》（民发〔</w:t>
            </w:r>
            <w:r>
              <w:rPr>
                <w:rFonts w:ascii="宋体" w:hAnsi="宋体"/>
                <w:color w:val="auto"/>
                <w:sz w:val="24"/>
              </w:rPr>
              <w:t>2015</w:t>
            </w:r>
            <w:r>
              <w:rPr>
                <w:rFonts w:hint="eastAsia" w:ascii="宋体" w:hAnsi="宋体"/>
                <w:color w:val="auto"/>
                <w:sz w:val="24"/>
              </w:rPr>
              <w:t>〕</w:t>
            </w:r>
            <w:r>
              <w:rPr>
                <w:rFonts w:ascii="宋体" w:hAnsi="宋体"/>
                <w:color w:val="auto"/>
                <w:sz w:val="24"/>
              </w:rPr>
              <w:t>33</w:t>
            </w:r>
            <w:r>
              <w:rPr>
                <w:rFonts w:hint="eastAsia" w:ascii="宋体" w:hAnsi="宋体"/>
                <w:color w:val="auto"/>
                <w:sz w:val="24"/>
              </w:rPr>
              <w:t>号）；《国务院关于加快发展养老服务业的若干意见》（</w:t>
            </w:r>
            <w:r>
              <w:rPr>
                <w:rFonts w:ascii="宋体" w:hAnsi="宋体"/>
                <w:color w:val="auto"/>
                <w:sz w:val="24"/>
              </w:rPr>
              <w:t>国发〔2013〕35号</w:t>
            </w:r>
            <w:r>
              <w:rPr>
                <w:rFonts w:hint="eastAsia" w:ascii="宋体" w:hAnsi="宋体"/>
                <w:color w:val="auto"/>
                <w:sz w:val="24"/>
              </w:rPr>
              <w:t>）；《</w:t>
            </w:r>
            <w:r>
              <w:rPr>
                <w:rFonts w:ascii="宋体" w:hAnsi="宋体"/>
                <w:color w:val="auto"/>
                <w:sz w:val="24"/>
              </w:rPr>
              <w:t>国务院办公厅关于加快发展生活性服务业促进消费结构升级的指导意见</w:t>
            </w:r>
            <w:r>
              <w:rPr>
                <w:rFonts w:hint="eastAsia" w:ascii="宋体" w:hAnsi="宋体"/>
                <w:color w:val="auto"/>
                <w:sz w:val="24"/>
              </w:rPr>
              <w:t>》（</w:t>
            </w:r>
            <w:r>
              <w:rPr>
                <w:rFonts w:ascii="宋体" w:hAnsi="宋体"/>
                <w:color w:val="auto"/>
                <w:sz w:val="24"/>
              </w:rPr>
              <w:t>国办发〔2015〕85号</w:t>
            </w:r>
            <w:r>
              <w:rPr>
                <w:rFonts w:hint="eastAsia" w:ascii="宋体" w:hAnsi="宋体"/>
                <w:color w:val="auto"/>
                <w:sz w:val="24"/>
              </w:rPr>
              <w:t>）；《中共浙江省委关于补短板的若干意见》（2016年4月27日）；《浙江省</w:t>
            </w:r>
            <w:r>
              <w:rPr>
                <w:rFonts w:hint="eastAsia" w:ascii="宋体" w:hAnsi="宋体"/>
                <w:color w:val="auto"/>
                <w:sz w:val="24"/>
                <w:lang w:eastAsia="zh-CN"/>
              </w:rPr>
              <w:t>民政厅</w:t>
            </w:r>
            <w:r>
              <w:rPr>
                <w:rFonts w:hint="eastAsia" w:ascii="宋体" w:hAnsi="宋体"/>
                <w:color w:val="auto"/>
                <w:sz w:val="24"/>
                <w:lang w:val="en-US" w:eastAsia="zh-CN"/>
              </w:rPr>
              <w:t xml:space="preserve"> 浙江省国土资源厅  浙江省住房和城乡建设厅</w:t>
            </w:r>
            <w:r>
              <w:rPr>
                <w:rFonts w:hint="eastAsia" w:ascii="宋体" w:hAnsi="宋体"/>
                <w:color w:val="auto"/>
                <w:sz w:val="24"/>
              </w:rPr>
              <w:t>关于加强养老服务设施规划建设的意见》（浙民福〔2012〕174号）；《关于鼓励社会力量兴办养老机构的若干意见》（温委发</w:t>
            </w:r>
            <w:r>
              <w:rPr>
                <w:rFonts w:ascii="宋体" w:hAnsi="宋体"/>
                <w:color w:val="auto"/>
                <w:sz w:val="24"/>
              </w:rPr>
              <w:t>〔2013〕</w:t>
            </w:r>
            <w:r>
              <w:rPr>
                <w:rFonts w:hint="eastAsia" w:ascii="宋体" w:hAnsi="宋体"/>
                <w:color w:val="auto"/>
                <w:sz w:val="24"/>
              </w:rPr>
              <w:t>55号）；《温州市民政（移民）事业发展“十三五”规划》。</w:t>
            </w:r>
          </w:p>
        </w:tc>
      </w:tr>
    </w:tbl>
    <w:p>
      <w:pPr>
        <w:spacing w:line="600" w:lineRule="exact"/>
        <w:ind w:firstLine="883" w:firstLineChars="200"/>
        <w:rPr>
          <w:rFonts w:ascii="宋体" w:hAnsi="宋体"/>
          <w:b/>
          <w:color w:val="auto"/>
          <w:sz w:val="44"/>
          <w:szCs w:val="44"/>
        </w:rPr>
        <w:sectPr>
          <w:pgSz w:w="11906" w:h="16838"/>
          <w:pgMar w:top="1440" w:right="1800" w:bottom="1440" w:left="1800" w:header="851" w:footer="992" w:gutter="0"/>
          <w:pgNumType w:start="1"/>
          <w:cols w:space="720" w:num="1"/>
          <w:docGrid w:type="lines" w:linePitch="312" w:charSpace="0"/>
        </w:sectPr>
      </w:pPr>
    </w:p>
    <w:bookmarkEnd w:id="6"/>
    <w:bookmarkEnd w:id="7"/>
    <w:p>
      <w:pPr>
        <w:pStyle w:val="2"/>
        <w:spacing w:line="520" w:lineRule="atLeast"/>
        <w:ind w:firstLine="883" w:firstLineChars="200"/>
        <w:rPr>
          <w:rFonts w:hint="eastAsia" w:asciiTheme="majorEastAsia" w:hAnsiTheme="majorEastAsia" w:eastAsiaTheme="majorEastAsia" w:cstheme="majorEastAsia"/>
          <w:color w:val="auto"/>
        </w:rPr>
      </w:pPr>
      <w:bookmarkStart w:id="8" w:name="_Toc468224824"/>
      <w:bookmarkStart w:id="9" w:name="_Toc19099"/>
      <w:r>
        <w:rPr>
          <w:rFonts w:hint="eastAsia" w:asciiTheme="majorEastAsia" w:hAnsiTheme="majorEastAsia" w:eastAsiaTheme="majorEastAsia" w:cstheme="majorEastAsia"/>
          <w:color w:val="auto"/>
        </w:rPr>
        <w:t>第一章 现实基础</w:t>
      </w:r>
      <w:bookmarkEnd w:id="8"/>
      <w:bookmarkEnd w:id="9"/>
    </w:p>
    <w:p>
      <w:pPr>
        <w:pStyle w:val="3"/>
        <w:rPr>
          <w:color w:val="auto"/>
        </w:rPr>
      </w:pPr>
      <w:bookmarkStart w:id="10" w:name="_Toc5022"/>
      <w:bookmarkStart w:id="11" w:name="_Toc445976889"/>
      <w:bookmarkStart w:id="12" w:name="_Toc468224825"/>
      <w:bookmarkStart w:id="13" w:name="_Toc27590"/>
      <w:r>
        <w:rPr>
          <w:rFonts w:hint="eastAsia"/>
          <w:color w:val="auto"/>
        </w:rPr>
        <w:t>一、发展成绩</w:t>
      </w:r>
      <w:bookmarkEnd w:id="10"/>
      <w:bookmarkEnd w:id="11"/>
      <w:bookmarkEnd w:id="12"/>
      <w:bookmarkEnd w:id="13"/>
    </w:p>
    <w:p>
      <w:pPr>
        <w:spacing w:line="520" w:lineRule="atLeast"/>
        <w:ind w:firstLine="640" w:firstLineChars="200"/>
        <w:rPr>
          <w:rFonts w:ascii="仿宋_GB2312" w:hAnsi="宋体" w:eastAsia="仿宋_GB2312"/>
          <w:color w:val="auto"/>
          <w:sz w:val="32"/>
          <w:szCs w:val="28"/>
        </w:rPr>
      </w:pPr>
      <w:r>
        <w:rPr>
          <w:rFonts w:hint="eastAsia" w:ascii="仿宋_GB2312" w:hAnsi="宋体" w:eastAsia="仿宋_GB2312"/>
          <w:color w:val="auto"/>
          <w:sz w:val="32"/>
          <w:szCs w:val="28"/>
        </w:rPr>
        <w:t>“十二五”时期，鹿城区以《鹿城区老龄事业发展“十二五”规划》为引领，积极应对人口老龄化，全区老龄事业发展取得了明显成效。</w:t>
      </w:r>
    </w:p>
    <w:p>
      <w:pPr>
        <w:pStyle w:val="4"/>
        <w:spacing w:before="0" w:after="0" w:line="520" w:lineRule="atLeast"/>
        <w:ind w:firstLine="643" w:firstLineChars="200"/>
        <w:rPr>
          <w:rFonts w:ascii="仿宋_GB2312" w:hAnsi="宋体" w:eastAsia="仿宋_GB2312"/>
          <w:color w:val="auto"/>
          <w:szCs w:val="28"/>
        </w:rPr>
      </w:pPr>
      <w:bookmarkStart w:id="14" w:name="_Toc439698944"/>
      <w:bookmarkStart w:id="15" w:name="_Toc425831268"/>
      <w:bookmarkStart w:id="16" w:name="_Toc445976890"/>
      <w:bookmarkStart w:id="17" w:name="_Toc6367"/>
      <w:bookmarkStart w:id="18" w:name="_Toc9253"/>
      <w:bookmarkStart w:id="19" w:name="_Toc447268642"/>
      <w:bookmarkStart w:id="20" w:name="_Toc13363"/>
      <w:bookmarkStart w:id="21" w:name="_Toc31862"/>
      <w:bookmarkStart w:id="22" w:name="_Toc31680"/>
      <w:bookmarkStart w:id="23" w:name="_Toc448166507"/>
      <w:bookmarkStart w:id="24" w:name="_Toc9729"/>
      <w:bookmarkStart w:id="25" w:name="_Toc468224826"/>
      <w:bookmarkStart w:id="26" w:name="_Toc7921"/>
      <w:bookmarkStart w:id="27" w:name="_Toc18420"/>
      <w:r>
        <w:rPr>
          <w:rFonts w:hint="eastAsia" w:ascii="仿宋_GB2312" w:hAnsi="宋体" w:eastAsia="仿宋_GB2312"/>
          <w:color w:val="auto"/>
          <w:szCs w:val="28"/>
        </w:rPr>
        <w:t>1</w:t>
      </w:r>
      <w:bookmarkEnd w:id="14"/>
      <w:bookmarkEnd w:id="15"/>
      <w:r>
        <w:rPr>
          <w:rFonts w:hint="eastAsia" w:ascii="仿宋_GB2312" w:hAnsi="宋体" w:eastAsia="仿宋_GB2312"/>
          <w:color w:val="auto"/>
          <w:szCs w:val="28"/>
        </w:rPr>
        <w:t>、老年社会保障更加</w:t>
      </w:r>
      <w:bookmarkEnd w:id="16"/>
      <w:bookmarkEnd w:id="17"/>
      <w:bookmarkEnd w:id="18"/>
      <w:bookmarkEnd w:id="19"/>
      <w:bookmarkEnd w:id="20"/>
      <w:bookmarkEnd w:id="21"/>
      <w:bookmarkEnd w:id="22"/>
      <w:bookmarkEnd w:id="23"/>
      <w:r>
        <w:rPr>
          <w:rFonts w:hint="eastAsia" w:ascii="仿宋_GB2312" w:hAnsi="宋体" w:eastAsia="仿宋_GB2312"/>
          <w:color w:val="auto"/>
          <w:szCs w:val="28"/>
        </w:rPr>
        <w:t>健全</w:t>
      </w:r>
      <w:bookmarkEnd w:id="24"/>
      <w:bookmarkEnd w:id="25"/>
      <w:bookmarkEnd w:id="26"/>
      <w:bookmarkEnd w:id="27"/>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b/>
          <w:color w:val="auto"/>
          <w:sz w:val="32"/>
          <w:szCs w:val="28"/>
        </w:rPr>
        <w:t>——养老保险扩面提标。</w:t>
      </w:r>
      <w:r>
        <w:rPr>
          <w:rFonts w:hint="eastAsia" w:ascii="仿宋_GB2312" w:hAnsi="宋体" w:eastAsia="仿宋_GB2312"/>
          <w:color w:val="auto"/>
          <w:sz w:val="32"/>
          <w:szCs w:val="28"/>
        </w:rPr>
        <w:t>201</w:t>
      </w:r>
      <w:r>
        <w:rPr>
          <w:rFonts w:hint="eastAsia" w:ascii="仿宋_GB2312" w:hAnsi="宋体" w:eastAsia="仿宋_GB2312" w:cs="宋体"/>
          <w:color w:val="auto"/>
          <w:kern w:val="0"/>
          <w:sz w:val="32"/>
          <w:szCs w:val="28"/>
        </w:rPr>
        <w:t>5年末鹿城区基本养老保险参保人数33.16万</w:t>
      </w:r>
      <w:r>
        <w:rPr>
          <w:rStyle w:val="25"/>
          <w:rFonts w:hint="eastAsia" w:ascii="仿宋_GB2312" w:hAnsi="宋体" w:eastAsia="仿宋_GB2312" w:cs="宋体"/>
          <w:color w:val="auto"/>
          <w:kern w:val="0"/>
          <w:sz w:val="32"/>
          <w:szCs w:val="28"/>
        </w:rPr>
        <w:footnoteReference w:id="1"/>
      </w:r>
      <w:r>
        <w:rPr>
          <w:rFonts w:hint="eastAsia" w:ascii="仿宋_GB2312" w:hAnsi="宋体" w:eastAsia="仿宋_GB2312" w:cs="宋体"/>
          <w:color w:val="auto"/>
          <w:kern w:val="0"/>
          <w:sz w:val="32"/>
          <w:szCs w:val="28"/>
        </w:rPr>
        <w:t>，较“十一五”期末的2010年19.80万增加13.36万。全区城镇职工退休人员基础养老金连续12年上调，年均增幅达10%以上。加大养老保险补贴力度，城乡居民养老保险金财政承担部分，全区从2010年的60元/月调整到2015年的150元/月。调整全区被征地农民基本生活保障待遇享受和缴费标准，被征地农民基本生活保障待遇享受标准调整为一档500元/月、二档440元/月、三档340元/月，被征地农民生活补助金享受标准调整为110元/月，有效强化了被征地老年农民养老保障。实现被征地农民社保与城镇职工社保的制度衔接，有效强化了被征地老年农民养老保障。</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b/>
          <w:color w:val="auto"/>
          <w:sz w:val="32"/>
          <w:szCs w:val="28"/>
        </w:rPr>
        <w:t>——医疗保险制度更加健全。</w:t>
      </w:r>
      <w:r>
        <w:rPr>
          <w:rFonts w:hint="eastAsia" w:ascii="仿宋_GB2312" w:hAnsi="宋体" w:eastAsia="仿宋_GB2312" w:cs="宋体"/>
          <w:color w:val="auto"/>
          <w:kern w:val="0"/>
          <w:sz w:val="32"/>
          <w:szCs w:val="28"/>
        </w:rPr>
        <w:t>“十二五”期间，我区按照全市统一部署，将原城镇居民医保、未成年人医保和新农合制度整合为城乡居民基本医疗保障制度，简化医保人群划分，形成了以职工基本医疗保险、城乡居民基本医疗保险为主体的基本医疗保障制度。2015年末全区医疗保险参保人数约39.47万人</w:t>
      </w:r>
      <w:r>
        <w:rPr>
          <w:rFonts w:hint="eastAsia" w:ascii="仿宋_GB2312" w:hAnsi="宋体" w:eastAsia="仿宋_GB2312" w:cs="宋体"/>
          <w:color w:val="auto"/>
          <w:kern w:val="0"/>
          <w:sz w:val="32"/>
          <w:szCs w:val="28"/>
          <w:vertAlign w:val="superscript"/>
        </w:rPr>
        <w:footnoteReference w:id="2"/>
      </w:r>
      <w:r>
        <w:rPr>
          <w:rFonts w:hint="eastAsia" w:ascii="仿宋_GB2312" w:hAnsi="宋体" w:eastAsia="仿宋_GB2312" w:cs="宋体"/>
          <w:color w:val="auto"/>
          <w:kern w:val="0"/>
          <w:sz w:val="32"/>
          <w:szCs w:val="28"/>
        </w:rPr>
        <w:t>。建立和完善大病保险制度，将全体基本医疗参保人员统一纳入大病医疗保险制度范围，有效化解参保老年人大病风险。目前我区职工医保政策内住院费用最高限额达到78万元以上，并将退休人员住院报销比例提高到95%，进一步减少老年人医疗费用支出。</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color w:val="auto"/>
          <w:kern w:val="0"/>
          <w:sz w:val="32"/>
          <w:szCs w:val="28"/>
        </w:rPr>
        <w:t>——开展老年人意外伤害保险。</w:t>
      </w:r>
      <w:r>
        <w:rPr>
          <w:rFonts w:hint="eastAsia" w:ascii="仿宋_GB2312" w:hAnsi="宋体" w:eastAsia="仿宋_GB2312" w:cs="宋体"/>
          <w:color w:val="auto"/>
          <w:kern w:val="0"/>
          <w:sz w:val="32"/>
          <w:szCs w:val="28"/>
        </w:rPr>
        <w:t>以建立社区居家养老服务照料中心规范化运行机制为契机，2015年起开展居家养老服务照料中心老年人意外伤害保险不记名投保工作，全区每年投入保费不低于15万元，填补了老年人意外伤害保险空白，降低老年人支付风险，受到广大群众好评。</w:t>
      </w:r>
    </w:p>
    <w:p>
      <w:pPr>
        <w:pStyle w:val="4"/>
        <w:spacing w:before="0" w:after="0" w:line="520" w:lineRule="atLeast"/>
        <w:ind w:firstLine="643" w:firstLineChars="200"/>
        <w:rPr>
          <w:rFonts w:ascii="仿宋_GB2312" w:hAnsi="宋体" w:eastAsia="仿宋_GB2312"/>
          <w:color w:val="auto"/>
          <w:szCs w:val="28"/>
        </w:rPr>
      </w:pPr>
      <w:bookmarkStart w:id="28" w:name="_Toc20017"/>
      <w:bookmarkStart w:id="29" w:name="_Toc14550"/>
      <w:bookmarkStart w:id="30" w:name="_Toc9428"/>
      <w:bookmarkStart w:id="31" w:name="_Toc1340"/>
      <w:bookmarkStart w:id="32" w:name="_Toc9200"/>
      <w:bookmarkStart w:id="33" w:name="_Toc16458"/>
      <w:bookmarkStart w:id="34" w:name="_Toc448166508"/>
      <w:bookmarkStart w:id="35" w:name="_Toc445976891"/>
      <w:bookmarkStart w:id="36" w:name="_Toc23121"/>
      <w:bookmarkStart w:id="37" w:name="_Toc447268643"/>
      <w:bookmarkStart w:id="38" w:name="_Toc468224827"/>
      <w:bookmarkStart w:id="39" w:name="_Toc11075"/>
      <w:bookmarkStart w:id="40" w:name="_Toc439698945"/>
      <w:bookmarkStart w:id="41" w:name="_Toc425831269"/>
      <w:r>
        <w:rPr>
          <w:rFonts w:hint="eastAsia" w:ascii="仿宋_GB2312" w:hAnsi="宋体" w:eastAsia="仿宋_GB2312"/>
          <w:color w:val="auto"/>
          <w:szCs w:val="28"/>
        </w:rPr>
        <w:t>2、老年医疗服务明显提升</w:t>
      </w:r>
      <w:bookmarkEnd w:id="28"/>
      <w:bookmarkEnd w:id="29"/>
      <w:bookmarkEnd w:id="30"/>
      <w:bookmarkEnd w:id="31"/>
      <w:bookmarkEnd w:id="32"/>
      <w:bookmarkEnd w:id="33"/>
      <w:bookmarkEnd w:id="34"/>
      <w:bookmarkEnd w:id="35"/>
      <w:bookmarkEnd w:id="36"/>
      <w:bookmarkEnd w:id="37"/>
      <w:bookmarkEnd w:id="38"/>
      <w:bookmarkEnd w:id="39"/>
    </w:p>
    <w:p>
      <w:pPr>
        <w:spacing w:line="600" w:lineRule="exact"/>
        <w:ind w:firstLine="643" w:firstLineChars="200"/>
        <w:rPr>
          <w:rFonts w:ascii="仿宋" w:hAnsi="仿宋" w:eastAsia="仿宋"/>
          <w:color w:val="auto"/>
          <w:sz w:val="32"/>
          <w:szCs w:val="32"/>
        </w:rPr>
      </w:pPr>
      <w:r>
        <w:rPr>
          <w:rFonts w:hint="eastAsia" w:ascii="仿宋_GB2312" w:hAnsi="宋体" w:eastAsia="仿宋_GB2312" w:cs="宋体"/>
          <w:b/>
          <w:color w:val="auto"/>
          <w:kern w:val="0"/>
          <w:sz w:val="32"/>
          <w:szCs w:val="28"/>
        </w:rPr>
        <w:t>——完善基层医疗卫生服务网点体系。</w:t>
      </w:r>
      <w:r>
        <w:rPr>
          <w:rFonts w:hint="eastAsia" w:ascii="仿宋_GB2312" w:hAnsi="宋体" w:eastAsia="仿宋_GB2312" w:cs="宋体"/>
          <w:color w:val="auto"/>
          <w:kern w:val="0"/>
          <w:sz w:val="32"/>
          <w:szCs w:val="28"/>
        </w:rPr>
        <w:t>截至2015年末，全区共有22家社区卫生服务中心、38家社区卫生服务站、77家村卫生室、34家医疗服务点，构建了以区级医院为龙头，社区卫生服务中心为枢纽，社区服务站为网底，村卫生室、巡回医疗点为补充的三级医疗卫生服务体系，打造15-20分钟服务圈。基层医疗卫生机构网络体系的构建，极大方便了我区老年人日常医疗卫生保健服务，有力支撑了我市老年人医疗卫生水平的提升。</w:t>
      </w:r>
    </w:p>
    <w:p>
      <w:pPr>
        <w:spacing w:line="600" w:lineRule="exac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——大力推进老年病医院和老年病科建设。</w:t>
      </w:r>
      <w:r>
        <w:rPr>
          <w:rFonts w:hint="eastAsia" w:ascii="仿宋_GB2312" w:hAnsi="宋体" w:eastAsia="仿宋_GB2312" w:cs="宋体"/>
          <w:color w:val="auto"/>
          <w:kern w:val="0"/>
          <w:sz w:val="32"/>
          <w:szCs w:val="28"/>
        </w:rPr>
        <w:t>温州市作为全国社会资本办医试点城市，将引入社会资本建设老年病专科医院作为试点重点，积极鼓励社会资本举办各类老年医疗机构。2015年，市中医院与上海复星医药(集团)股份有限公司，通过设立混合所有制医院方式，组建500张床位的“温州老年病医院”落户鹿城，成为浙南地区最大的老年病专科医院，填补了我区老年病专科医院领域的空白。推进综合医院老年病科建设，我区辖区范围内的温州医科大学附属第一、第二医院、温州中心医院等综合性医院普遍设立了老年病门诊，为老年人提供“一站式”医疗服务。</w:t>
      </w:r>
    </w:p>
    <w:p>
      <w:pPr>
        <w:spacing w:line="520" w:lineRule="atLeast"/>
        <w:ind w:firstLine="643" w:firstLineChars="200"/>
        <w:rPr>
          <w:rFonts w:ascii="仿宋_GB2312" w:eastAsia="仿宋_GB2312"/>
          <w:color w:val="auto"/>
          <w:sz w:val="32"/>
          <w:szCs w:val="32"/>
        </w:rPr>
      </w:pPr>
      <w:r>
        <w:rPr>
          <w:rFonts w:hint="eastAsia" w:ascii="仿宋_GB2312" w:hAnsi="宋体" w:eastAsia="仿宋_GB2312" w:cs="宋体"/>
          <w:b/>
          <w:bCs/>
          <w:color w:val="auto"/>
          <w:kern w:val="0"/>
          <w:sz w:val="32"/>
          <w:szCs w:val="28"/>
        </w:rPr>
        <w:t>——医养结合工作取得成效。</w:t>
      </w:r>
      <w:r>
        <w:rPr>
          <w:rFonts w:hint="eastAsia" w:ascii="仿宋_GB2312" w:hAnsi="宋体" w:eastAsia="仿宋_GB2312" w:cs="宋体"/>
          <w:color w:val="auto"/>
          <w:kern w:val="0"/>
          <w:sz w:val="32"/>
          <w:szCs w:val="28"/>
        </w:rPr>
        <w:t>松台街道庆年坊社区与温州市首家三甲医院中医院举行医养结合试点工作签约仪式，为居家养老的老年人就医开设绿色通道并定期进行医疗服务，并开设了黄大中医生中草药标本展厅</w:t>
      </w:r>
      <w:r>
        <w:rPr>
          <w:rFonts w:hint="eastAsia" w:ascii="仿宋_GB2312" w:hAnsi="宋体" w:eastAsia="仿宋_GB2312" w:cs="宋体"/>
          <w:b/>
          <w:bCs/>
          <w:color w:val="auto"/>
          <w:kern w:val="0"/>
          <w:sz w:val="32"/>
          <w:szCs w:val="28"/>
        </w:rPr>
        <w:t>；</w:t>
      </w:r>
      <w:r>
        <w:rPr>
          <w:rFonts w:hint="eastAsia" w:ascii="仿宋_GB2312" w:hAnsi="宋体" w:eastAsia="仿宋_GB2312" w:cs="宋体"/>
          <w:color w:val="auto"/>
          <w:kern w:val="0"/>
          <w:sz w:val="32"/>
          <w:szCs w:val="28"/>
        </w:rPr>
        <w:t>七都街道开展家庭医生签约式有偿服务，以个人为单位，以书面为依据，主要服务包括高龄老人、失能老人、空巢老人等在内的老年人群体，共签约80余人。2015年底，鹿城区在7个社区（村）实行居家养老服务照料中心医养结合试点。主要采取照料中心和卫生机构场地共用、资源共享的办法；卫生机构派医生</w:t>
      </w:r>
      <w:r>
        <w:rPr>
          <w:rFonts w:hint="eastAsia" w:ascii="仿宋_GB2312" w:eastAsia="仿宋_GB2312"/>
          <w:color w:val="auto"/>
          <w:sz w:val="32"/>
          <w:szCs w:val="32"/>
        </w:rPr>
        <w:t>护士巡诊的办法及照料中心与卫生机构互签绿色通道的办法；还有场地较大的照料中心直接申请设立医务室的办法等等。</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——积极开展各类义诊活动。</w:t>
      </w:r>
      <w:r>
        <w:rPr>
          <w:rFonts w:hint="eastAsia" w:ascii="仿宋_GB2312" w:hAnsi="宋体" w:eastAsia="仿宋_GB2312" w:cs="宋体"/>
          <w:color w:val="auto"/>
          <w:kern w:val="0"/>
          <w:sz w:val="32"/>
          <w:szCs w:val="28"/>
        </w:rPr>
        <w:t>全区社区卫生服务中心联合辖区各大医院，依托各类敬老助老活动，不定期联合举办“敬老助老，从我做起”、便民服务一条街等义诊活动，邀请各类专家、医生为老年人开方问诊，提供健康咨询等服务，并向老人们发放常见疾病的健康宣传资料。</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——加强农村老年人医疗健康服务水平。</w:t>
      </w:r>
      <w:r>
        <w:rPr>
          <w:rFonts w:hint="eastAsia" w:ascii="仿宋_GB2312" w:hAnsi="宋体" w:eastAsia="仿宋_GB2312" w:cs="宋体"/>
          <w:color w:val="auto"/>
          <w:kern w:val="0"/>
          <w:sz w:val="32"/>
          <w:szCs w:val="28"/>
        </w:rPr>
        <w:t>针对鹿城西部农村地区老年人医疗健康服务水平低问题，藤桥卫生院不断完善医疗服务车的设备和人才配置，提高信息化水平，打造更实用、高效的“流动医院”，探索边远山区老人托老点医疗覆盖。七都社区针对侨乡特色，针对留守老人，设立情亲沟通视频室，与卫生院签约，打造“医、养、护”服务新模式。</w:t>
      </w:r>
    </w:p>
    <w:p>
      <w:pPr>
        <w:pStyle w:val="4"/>
        <w:spacing w:before="0" w:after="0" w:line="520" w:lineRule="atLeast"/>
        <w:ind w:firstLine="643" w:firstLineChars="200"/>
        <w:rPr>
          <w:rFonts w:ascii="仿宋_GB2312" w:hAnsi="宋体" w:eastAsia="仿宋_GB2312"/>
          <w:color w:val="auto"/>
          <w:szCs w:val="28"/>
        </w:rPr>
      </w:pPr>
      <w:bookmarkStart w:id="42" w:name="_Toc5766"/>
      <w:bookmarkStart w:id="43" w:name="_Toc18390"/>
      <w:bookmarkStart w:id="44" w:name="_Toc27918"/>
      <w:bookmarkStart w:id="45" w:name="_Toc448166509"/>
      <w:bookmarkStart w:id="46" w:name="_Toc445976892"/>
      <w:bookmarkStart w:id="47" w:name="_Toc13977"/>
      <w:bookmarkStart w:id="48" w:name="_Toc447268644"/>
      <w:bookmarkStart w:id="49" w:name="_Toc32550"/>
      <w:bookmarkStart w:id="50" w:name="_Toc25726"/>
      <w:bookmarkStart w:id="51" w:name="_Toc468224828"/>
      <w:bookmarkStart w:id="52" w:name="_Toc1818"/>
      <w:bookmarkStart w:id="53" w:name="_Toc5908"/>
      <w:r>
        <w:rPr>
          <w:rFonts w:hint="eastAsia" w:ascii="仿宋_GB2312" w:hAnsi="宋体" w:eastAsia="仿宋_GB2312"/>
          <w:color w:val="auto"/>
          <w:szCs w:val="28"/>
        </w:rPr>
        <w:t>3、养老服务体系</w:t>
      </w:r>
      <w:bookmarkEnd w:id="40"/>
      <w:bookmarkEnd w:id="42"/>
      <w:bookmarkEnd w:id="43"/>
      <w:bookmarkEnd w:id="44"/>
      <w:bookmarkEnd w:id="45"/>
      <w:bookmarkEnd w:id="46"/>
      <w:bookmarkEnd w:id="47"/>
      <w:bookmarkEnd w:id="48"/>
      <w:bookmarkEnd w:id="49"/>
      <w:r>
        <w:rPr>
          <w:rFonts w:hint="eastAsia" w:ascii="仿宋_GB2312" w:hAnsi="宋体" w:eastAsia="仿宋_GB2312"/>
          <w:color w:val="auto"/>
          <w:szCs w:val="28"/>
        </w:rPr>
        <w:t>进一步完善</w:t>
      </w:r>
      <w:bookmarkEnd w:id="50"/>
      <w:bookmarkEnd w:id="51"/>
      <w:bookmarkEnd w:id="52"/>
      <w:bookmarkEnd w:id="53"/>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——构建三级居家养老服务体系。</w:t>
      </w:r>
      <w:r>
        <w:rPr>
          <w:rFonts w:hint="eastAsia" w:ascii="仿宋_GB2312" w:hAnsi="宋体" w:eastAsia="仿宋_GB2312" w:cs="宋体"/>
          <w:color w:val="auto"/>
          <w:kern w:val="0"/>
          <w:sz w:val="32"/>
          <w:szCs w:val="28"/>
        </w:rPr>
        <w:t>2012年鹿城区成立养老指导中心（并配备2名编制），各街镇成立养老服务中心，各社区建立居家养老服务照料中心，初步形成了区、街道（镇）、社区（村）三级居家养老服务网络体系。同年，鹿城区率全市之先实现城市社区和农村社区居家养老服务照料中心全覆盖，提早3年完成省老龄“十二五”规划提出的建设任务。2014年开始，全区加快推进居家养老服务体系向农村延伸工作，截止2015年末已建立51个村级居家养老服务照料中心。不断推进农村居家养老照料中心标准化、规范化建设。新建村级老年照料中心将“四室一堂一点”（日间照料室、图书室、保健室、洗衣室、老年食堂、老年电大教学点）作为重要的服务项目，后京等52家有条件的村（社区）居家养老服务照料中心开办了老年食堂。</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——积极探索居家养老服务照料中心运营模式。</w:t>
      </w:r>
      <w:r>
        <w:rPr>
          <w:rFonts w:hint="eastAsia" w:ascii="仿宋_GB2312" w:hAnsi="宋体" w:eastAsia="仿宋_GB2312" w:cs="宋体"/>
          <w:color w:val="auto"/>
          <w:kern w:val="0"/>
          <w:sz w:val="32"/>
          <w:szCs w:val="28"/>
        </w:rPr>
        <w:t>积极开展社会组织（服务企业）进入社区居家养老服务试点，引入社会力量向社区老年人提供生活照料、家政服务、医疗护理、精神慰藉、法律咨询等无偿、低偿和有偿相结合的服务。松台街道菱藕社区率全市之先，开展“时间银行”储备服务试点，以志愿者和低龄老年人帮助高龄老年人来“储备”服务时间，形成志愿者为老服务长效机制。</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——加强政策扶持和规划引导。</w:t>
      </w:r>
      <w:r>
        <w:rPr>
          <w:rFonts w:hint="eastAsia" w:ascii="仿宋_GB2312" w:hAnsi="宋体" w:eastAsia="仿宋_GB2312" w:cs="宋体"/>
          <w:color w:val="auto"/>
          <w:kern w:val="0"/>
          <w:sz w:val="32"/>
          <w:szCs w:val="28"/>
        </w:rPr>
        <w:t>2012年开始，将居家养老服务照料中心建设纳入区政府为民办实事，进一步推动居家养老服务体系建设。2013年率全市之先出台社会养老服务体系建设（1+5）系列文件，成为我区养老服务体系建设中的一大亮点。创全省之先，出台《鹿城区社会养老服务体系建设部门工作职责》，明确了区委组织部、区教育局、区财政局、区人力社保局等28个职能部门在养老服务体系建设中的职责，《浙江民政信息》全文刊发，在全省推广。2014年率先出台《关于鼓励社会力量参与居家养老服务的实施意见》及相关配套文件（1+4），推动形成“政社联动、多元共建”的居家养老体系建设模式。</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——创新养老服务照料中心管理机制。</w:t>
      </w:r>
      <w:r>
        <w:rPr>
          <w:rFonts w:hint="eastAsia" w:ascii="仿宋_GB2312" w:hAnsi="宋体" w:eastAsia="仿宋_GB2312" w:cs="宋体"/>
          <w:color w:val="auto"/>
          <w:kern w:val="0"/>
          <w:sz w:val="32"/>
          <w:szCs w:val="28"/>
        </w:rPr>
        <w:t>2013年出台《鹿城区社区（村）居家养老服务照料中心（站、点）分类管理办法（试行）》（温鹿政办（2013）78号），在全市率先实行社区居家养老服务照料中心分类管理，引进第三方评估机制，根据第三方的评估情况对已建照料中心进行星级划分和评定，分类分级给予补贴，推动照料中心提质晋级。</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——积极开展政府购买服务。</w:t>
      </w:r>
      <w:r>
        <w:rPr>
          <w:rFonts w:hint="eastAsia" w:ascii="仿宋_GB2312" w:hAnsi="宋体" w:eastAsia="仿宋_GB2312" w:cs="宋体"/>
          <w:color w:val="auto"/>
          <w:kern w:val="0"/>
          <w:sz w:val="32"/>
          <w:szCs w:val="28"/>
        </w:rPr>
        <w:t>2013年在全市率先出台《</w:t>
      </w:r>
      <w:bookmarkStart w:id="54" w:name="OLE_LINK1"/>
      <w:r>
        <w:rPr>
          <w:rFonts w:hint="eastAsia" w:ascii="仿宋_GB2312" w:hAnsi="宋体" w:eastAsia="仿宋_GB2312" w:cs="宋体"/>
          <w:color w:val="auto"/>
          <w:kern w:val="0"/>
          <w:sz w:val="32"/>
          <w:szCs w:val="28"/>
        </w:rPr>
        <w:t>鹿城区养老服务需求评估办法</w:t>
      </w:r>
      <w:bookmarkEnd w:id="54"/>
      <w:r>
        <w:rPr>
          <w:rFonts w:hint="eastAsia" w:ascii="仿宋_GB2312" w:hAnsi="宋体" w:eastAsia="仿宋_GB2312" w:cs="宋体"/>
          <w:color w:val="auto"/>
          <w:kern w:val="0"/>
          <w:sz w:val="32"/>
          <w:szCs w:val="28"/>
        </w:rPr>
        <w:t>》和《鹿城区政府购买养老服务补贴制度实施方案》，成立了区、街（镇）、社区三级评估小组，对符合条件的老年人开展“点对点”上门评估需求调查，对有服务需求的老年人发放服务券或服务卡，提供生活照料、家政料理、精神慰藉等多项上门服务。当年对100多名重度失能失智老人进行评估，共65位老年人达到一类服务对象标准，他们可享受到政府每年提供的4800元（居家养老的服务对象）和12000元（机构养老的服务对象）的养老服务。2014年开始，进一步扩大政府购买养老服务的覆盖面，在一类对象的基础上确定了特困、失独、高龄等二类服务对象，每人每年享受600元的政府购买服务。并以招投标的方式确定服务企业，据初步统计，至2015年末享受政府购买养老服务人数累计已达3万人次左右，深受广大群众的欢迎和好评。</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——养老机构建设成绩显著。</w:t>
      </w:r>
      <w:r>
        <w:rPr>
          <w:rFonts w:hint="eastAsia" w:ascii="仿宋_GB2312" w:hAnsi="宋体" w:eastAsia="仿宋_GB2312" w:cs="宋体"/>
          <w:color w:val="auto"/>
          <w:kern w:val="0"/>
          <w:sz w:val="32"/>
          <w:szCs w:val="28"/>
        </w:rPr>
        <w:t>截至2015年底我区共有养老机构27家，其中民办养老机构26家，取得许可4家，共计床位数5539张，护理型2384张，2015年新建养老机构2家，新增床位数320张。民办养老机构入驻率普遍超过80%，半数以上民办养老机构已实现全护理养老。对自建用房养老机构，按床位数一次性给予每床位3000元；租赁用房每张床位800元，连续补三年政策。在政策扶持下，鹿城区养老企业“红景天老人公寓”床位数有由2005年的220张增加到2000张，增长950%。</w:t>
      </w:r>
    </w:p>
    <w:p>
      <w:pPr>
        <w:pStyle w:val="4"/>
        <w:spacing w:before="0" w:after="0" w:line="520" w:lineRule="atLeast"/>
        <w:ind w:firstLine="643" w:firstLineChars="200"/>
        <w:rPr>
          <w:rFonts w:ascii="仿宋_GB2312" w:hAnsi="宋体" w:eastAsia="仿宋_GB2312"/>
          <w:color w:val="auto"/>
          <w:szCs w:val="28"/>
        </w:rPr>
      </w:pPr>
      <w:bookmarkStart w:id="55" w:name="_Toc13141"/>
      <w:bookmarkStart w:id="56" w:name="_Toc25136"/>
      <w:bookmarkStart w:id="57" w:name="_Toc447268645"/>
      <w:bookmarkStart w:id="58" w:name="_Toc7807"/>
      <w:bookmarkStart w:id="59" w:name="_Toc23608"/>
      <w:bookmarkStart w:id="60" w:name="_Toc445976893"/>
      <w:bookmarkStart w:id="61" w:name="_Toc5117"/>
      <w:bookmarkStart w:id="62" w:name="_Toc448166510"/>
      <w:bookmarkStart w:id="63" w:name="_Toc468224829"/>
      <w:bookmarkStart w:id="64" w:name="_Toc14090"/>
      <w:bookmarkStart w:id="65" w:name="_Toc5890"/>
      <w:bookmarkStart w:id="66" w:name="_Toc3218"/>
      <w:bookmarkStart w:id="67" w:name="_Toc439698946"/>
      <w:r>
        <w:rPr>
          <w:rFonts w:hint="eastAsia" w:ascii="仿宋_GB2312" w:hAnsi="宋体" w:eastAsia="仿宋_GB2312"/>
          <w:color w:val="auto"/>
          <w:szCs w:val="28"/>
        </w:rPr>
        <w:t>4、老年精神文化更加丰富</w:t>
      </w:r>
      <w:bookmarkEnd w:id="55"/>
      <w:bookmarkEnd w:id="56"/>
      <w:bookmarkEnd w:id="57"/>
      <w:bookmarkEnd w:id="58"/>
      <w:bookmarkEnd w:id="59"/>
      <w:bookmarkEnd w:id="60"/>
      <w:bookmarkEnd w:id="61"/>
      <w:bookmarkEnd w:id="62"/>
      <w:r>
        <w:rPr>
          <w:rFonts w:hint="eastAsia" w:ascii="仿宋_GB2312" w:hAnsi="宋体" w:eastAsia="仿宋_GB2312"/>
          <w:color w:val="auto"/>
          <w:szCs w:val="28"/>
        </w:rPr>
        <w:t>多彩</w:t>
      </w:r>
      <w:bookmarkEnd w:id="63"/>
      <w:bookmarkEnd w:id="64"/>
      <w:bookmarkEnd w:id="65"/>
      <w:bookmarkEnd w:id="66"/>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——老年教育更加普及。</w:t>
      </w:r>
      <w:r>
        <w:rPr>
          <w:rFonts w:hint="eastAsia" w:ascii="仿宋_GB2312" w:hAnsi="宋体" w:eastAsia="仿宋_GB2312" w:cs="宋体"/>
          <w:color w:val="auto"/>
          <w:kern w:val="0"/>
          <w:sz w:val="32"/>
          <w:szCs w:val="28"/>
        </w:rPr>
        <w:t>依托居家养老服务照料中心建设，老年电大教育场所进一步拓展，以第一课堂为基础，第二课堂为平台，不断丰富老年教育内容。菱藕、桂柑等16个教学点作为省级教学示范点，水心、洪殿等26个教学点作为市级教学示范点得到福彩公益金资助。老年电大鹿城分校被评为省级老年电大先进办学单位。截止2015年末全区接受老年教育近5万人次。</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——老年文化生活更加多样。</w:t>
      </w:r>
      <w:r>
        <w:rPr>
          <w:rFonts w:hint="eastAsia" w:ascii="仿宋_GB2312" w:hAnsi="宋体" w:eastAsia="仿宋_GB2312" w:cs="宋体"/>
          <w:color w:val="auto"/>
          <w:kern w:val="0"/>
          <w:sz w:val="32"/>
          <w:szCs w:val="28"/>
        </w:rPr>
        <w:t>不断发展老年群众文艺组织，2015年全区老年文艺团队33个,成为全区文化艺术活动的重要补充力量。以节假日为契机，举办“庆重阳 夕阳放歌”、九九夕阳情联欢晚会、“老老少少齐相聚 欢欢喜喜闹元宵”等主题活动，开展丰富多彩的老年文艺演出活动。</w:t>
      </w:r>
    </w:p>
    <w:p>
      <w:pPr>
        <w:spacing w:line="520" w:lineRule="atLeast"/>
        <w:ind w:firstLine="643" w:firstLineChars="200"/>
        <w:rPr>
          <w:rFonts w:ascii="仿宋_GB2312" w:hAnsi="宋体" w:eastAsia="仿宋_GB2312" w:cs="宋体"/>
          <w:b/>
          <w:bCs/>
          <w:i/>
          <w:iCs/>
          <w:color w:val="auto"/>
          <w:kern w:val="0"/>
          <w:sz w:val="32"/>
          <w:szCs w:val="28"/>
        </w:rPr>
      </w:pPr>
      <w:r>
        <w:rPr>
          <w:rFonts w:hint="eastAsia" w:ascii="仿宋_GB2312" w:hAnsi="宋体" w:eastAsia="仿宋_GB2312" w:cs="宋体"/>
          <w:b/>
          <w:bCs/>
          <w:color w:val="auto"/>
          <w:kern w:val="0"/>
          <w:sz w:val="32"/>
          <w:szCs w:val="28"/>
        </w:rPr>
        <w:t>——老年体育活动蓬勃开展。</w:t>
      </w:r>
      <w:r>
        <w:rPr>
          <w:rFonts w:hint="eastAsia" w:ascii="仿宋_GB2312" w:hAnsi="宋体" w:eastAsia="仿宋_GB2312" w:cs="宋体"/>
          <w:color w:val="auto"/>
          <w:kern w:val="0"/>
          <w:sz w:val="32"/>
          <w:szCs w:val="28"/>
        </w:rPr>
        <w:t>定期开展老年人体育运动周，不定期举办健身舞、门球、太极拳、气功等老年人喜闻乐见的体育活动。</w:t>
      </w:r>
    </w:p>
    <w:bookmarkEnd w:id="41"/>
    <w:bookmarkEnd w:id="67"/>
    <w:p>
      <w:pPr>
        <w:pStyle w:val="4"/>
        <w:spacing w:before="0" w:after="0" w:line="520" w:lineRule="atLeast"/>
        <w:ind w:firstLine="643" w:firstLineChars="200"/>
        <w:rPr>
          <w:rFonts w:ascii="仿宋_GB2312" w:hAnsi="宋体" w:eastAsia="仿宋_GB2312"/>
          <w:color w:val="auto"/>
          <w:szCs w:val="28"/>
        </w:rPr>
      </w:pPr>
      <w:bookmarkStart w:id="68" w:name="_Toc425831271"/>
      <w:bookmarkStart w:id="69" w:name="_Toc439698947"/>
      <w:bookmarkStart w:id="70" w:name="_Toc16192"/>
      <w:bookmarkStart w:id="71" w:name="_Toc468224830"/>
      <w:bookmarkStart w:id="72" w:name="_Toc2610"/>
      <w:bookmarkStart w:id="73" w:name="_Toc9986"/>
      <w:bookmarkStart w:id="74" w:name="_Toc448166511"/>
      <w:bookmarkStart w:id="75" w:name="_Toc447268646"/>
      <w:bookmarkStart w:id="76" w:name="_Toc12365"/>
      <w:bookmarkStart w:id="77" w:name="_Toc445976894"/>
      <w:bookmarkStart w:id="78" w:name="_Toc28925"/>
      <w:bookmarkStart w:id="79" w:name="_Toc32629"/>
      <w:bookmarkStart w:id="80" w:name="_Toc3485"/>
      <w:bookmarkStart w:id="81" w:name="_Toc8253"/>
      <w:r>
        <w:rPr>
          <w:rFonts w:hint="eastAsia" w:ascii="仿宋_GB2312" w:hAnsi="宋体" w:eastAsia="仿宋_GB2312"/>
          <w:color w:val="auto"/>
          <w:szCs w:val="28"/>
        </w:rPr>
        <w:t>5、</w:t>
      </w:r>
      <w:bookmarkEnd w:id="68"/>
      <w:bookmarkEnd w:id="69"/>
      <w:r>
        <w:rPr>
          <w:rFonts w:hint="eastAsia" w:ascii="仿宋_GB2312" w:hAnsi="宋体" w:eastAsia="仿宋_GB2312"/>
          <w:color w:val="auto"/>
          <w:szCs w:val="28"/>
        </w:rPr>
        <w:t>敬老助老氛围日益浓厚</w:t>
      </w:r>
      <w:bookmarkEnd w:id="70"/>
      <w:bookmarkEnd w:id="71"/>
      <w:bookmarkEnd w:id="72"/>
      <w:bookmarkEnd w:id="73"/>
      <w:bookmarkEnd w:id="74"/>
      <w:bookmarkEnd w:id="75"/>
      <w:bookmarkEnd w:id="76"/>
      <w:bookmarkEnd w:id="77"/>
      <w:bookmarkEnd w:id="78"/>
      <w:bookmarkEnd w:id="79"/>
      <w:bookmarkEnd w:id="80"/>
      <w:bookmarkEnd w:id="81"/>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——有效落实老年优待工作。</w:t>
      </w:r>
      <w:r>
        <w:rPr>
          <w:rFonts w:hint="eastAsia" w:ascii="仿宋_GB2312" w:hAnsi="宋体" w:eastAsia="仿宋_GB2312" w:cs="宋体"/>
          <w:color w:val="auto"/>
          <w:kern w:val="0"/>
          <w:sz w:val="32"/>
          <w:szCs w:val="28"/>
        </w:rPr>
        <w:t>“十二五”期间累计为3万名60周岁以上老人和70周岁以上老年人办理了浙江省老年人优待证。每年为2千4百名左右的90周岁以上的高龄老人发放生活补贴。进一步提高高龄老人生活补贴标准，从2012年4月1日起，年满100周岁以上的老人每人每月由300元提高到500元；90周岁以上的老人每人每月由50元提高到100元。在老年人生日、重阳节、春节等节日开展慰问、发放生日蛋糕券等节日慰问品。</w:t>
      </w:r>
    </w:p>
    <w:p>
      <w:pPr>
        <w:spacing w:line="520" w:lineRule="atLeast"/>
        <w:ind w:firstLine="643" w:firstLineChars="200"/>
        <w:rPr>
          <w:rFonts w:ascii="仿宋_GB2312" w:hAnsi="宋体" w:eastAsia="仿宋_GB2312" w:cs="宋体"/>
          <w:b/>
          <w:bCs/>
          <w:color w:val="auto"/>
          <w:kern w:val="0"/>
          <w:sz w:val="32"/>
          <w:szCs w:val="28"/>
        </w:rPr>
      </w:pPr>
      <w:r>
        <w:rPr>
          <w:rFonts w:hint="eastAsia" w:ascii="仿宋_GB2312" w:hAnsi="宋体" w:eastAsia="仿宋_GB2312" w:cs="宋体"/>
          <w:b/>
          <w:bCs/>
          <w:color w:val="auto"/>
          <w:kern w:val="0"/>
          <w:sz w:val="32"/>
          <w:szCs w:val="28"/>
        </w:rPr>
        <w:t>——积极开展各类为老志愿者服务活动。</w:t>
      </w:r>
      <w:r>
        <w:rPr>
          <w:rFonts w:hint="eastAsia" w:ascii="仿宋_GB2312" w:hAnsi="宋体" w:eastAsia="仿宋_GB2312" w:cs="宋体"/>
          <w:color w:val="auto"/>
          <w:kern w:val="0"/>
          <w:sz w:val="32"/>
          <w:szCs w:val="28"/>
        </w:rPr>
        <w:t>鹿城区积极发展</w:t>
      </w:r>
      <w:r>
        <w:rPr>
          <w:rFonts w:hint="eastAsia" w:ascii="仿宋_GB2312" w:eastAsia="仿宋_GB2312" w:cs="宋体"/>
          <w:color w:val="auto"/>
          <w:kern w:val="0"/>
          <w:sz w:val="32"/>
          <w:szCs w:val="28"/>
        </w:rPr>
        <w:t>各类为老服务</w:t>
      </w:r>
      <w:r>
        <w:rPr>
          <w:rFonts w:hint="eastAsia" w:ascii="仿宋_GB2312" w:hAnsi="宋体" w:eastAsia="仿宋_GB2312" w:cs="宋体"/>
          <w:color w:val="auto"/>
          <w:kern w:val="0"/>
          <w:sz w:val="32"/>
          <w:szCs w:val="28"/>
        </w:rPr>
        <w:t>志愿者组织，在全</w:t>
      </w:r>
      <w:r>
        <w:rPr>
          <w:rFonts w:hint="eastAsia" w:ascii="仿宋_GB2312" w:eastAsia="仿宋_GB2312" w:cs="宋体"/>
          <w:color w:val="auto"/>
          <w:kern w:val="0"/>
          <w:sz w:val="32"/>
          <w:szCs w:val="28"/>
        </w:rPr>
        <w:t>区</w:t>
      </w:r>
      <w:r>
        <w:rPr>
          <w:rFonts w:hint="eastAsia" w:ascii="仿宋_GB2312" w:hAnsi="宋体" w:eastAsia="仿宋_GB2312" w:cs="宋体"/>
          <w:color w:val="auto"/>
          <w:kern w:val="0"/>
          <w:sz w:val="32"/>
          <w:szCs w:val="28"/>
        </w:rPr>
        <w:t>范围开展“银龄互助”</w:t>
      </w:r>
      <w:r>
        <w:rPr>
          <w:rFonts w:hint="eastAsia" w:ascii="仿宋_GB2312" w:eastAsia="仿宋_GB2312" w:cs="宋体"/>
          <w:color w:val="auto"/>
          <w:kern w:val="0"/>
          <w:sz w:val="32"/>
          <w:szCs w:val="28"/>
        </w:rPr>
        <w:t>、时间银行、</w:t>
      </w:r>
      <w:r>
        <w:rPr>
          <w:rFonts w:hint="eastAsia" w:ascii="仿宋_GB2312" w:hAnsi="宋体" w:eastAsia="仿宋_GB2312" w:cs="宋体"/>
          <w:color w:val="auto"/>
          <w:kern w:val="0"/>
          <w:sz w:val="32"/>
          <w:szCs w:val="28"/>
        </w:rPr>
        <w:t>“老有所为，感恩助老”</w:t>
      </w:r>
      <w:r>
        <w:rPr>
          <w:rFonts w:hint="eastAsia" w:ascii="仿宋_GB2312" w:eastAsia="仿宋_GB2312" w:cs="宋体"/>
          <w:color w:val="auto"/>
          <w:kern w:val="0"/>
          <w:sz w:val="32"/>
          <w:szCs w:val="28"/>
        </w:rPr>
        <w:t>等</w:t>
      </w:r>
      <w:r>
        <w:rPr>
          <w:rFonts w:hint="eastAsia" w:ascii="仿宋_GB2312" w:hAnsi="宋体" w:eastAsia="仿宋_GB2312" w:cs="宋体"/>
          <w:color w:val="auto"/>
          <w:kern w:val="0"/>
          <w:sz w:val="32"/>
          <w:szCs w:val="28"/>
        </w:rPr>
        <w:t>志愿者为老服务</w:t>
      </w:r>
      <w:r>
        <w:rPr>
          <w:rFonts w:hint="eastAsia" w:ascii="仿宋_GB2312" w:eastAsia="仿宋_GB2312" w:cs="宋体"/>
          <w:color w:val="auto"/>
          <w:kern w:val="0"/>
          <w:sz w:val="32"/>
          <w:szCs w:val="28"/>
        </w:rPr>
        <w:t>活动</w:t>
      </w:r>
      <w:r>
        <w:rPr>
          <w:rFonts w:hint="eastAsia" w:ascii="仿宋_GB2312" w:hAnsi="宋体" w:eastAsia="仿宋_GB2312" w:cs="宋体"/>
          <w:color w:val="auto"/>
          <w:kern w:val="0"/>
          <w:sz w:val="32"/>
          <w:szCs w:val="28"/>
        </w:rPr>
        <w:t>，组织动员广大青少年和其他社会公众加入为老服务志愿者行列，通过与养老机构和居家老年人结对帮扶等形式，为老年人提供生活照料、医疗保健、法律援助等多方面服务。截至目前，建立为老服务志愿者</w:t>
      </w:r>
      <w:r>
        <w:rPr>
          <w:rFonts w:hint="eastAsia" w:ascii="仿宋_GB2312" w:eastAsia="仿宋_GB2312" w:cs="宋体"/>
          <w:color w:val="auto"/>
          <w:kern w:val="0"/>
          <w:sz w:val="32"/>
          <w:szCs w:val="28"/>
        </w:rPr>
        <w:t>队伍200多支，诞生了松台街道为老志愿者协会等特色志愿者服务队，建有“爱心地铁”公众平台及“爱心地铁”为老服务站等平台。</w:t>
      </w:r>
      <w:bookmarkStart w:id="82" w:name="OLE_LINK4"/>
      <w:r>
        <w:rPr>
          <w:rFonts w:hint="eastAsia" w:ascii="仿宋_GB2312" w:eastAsia="仿宋_GB2312" w:cs="宋体"/>
          <w:color w:val="auto"/>
          <w:kern w:val="0"/>
          <w:sz w:val="32"/>
          <w:szCs w:val="28"/>
        </w:rPr>
        <w:t>松台街道还制定了为老志协服务辖区居家老人走访制度，有力推动了志愿者服务的规范化、常态化。</w:t>
      </w:r>
    </w:p>
    <w:bookmarkEnd w:id="82"/>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——积极开展“敬老月”等主题助老活动。</w:t>
      </w:r>
      <w:r>
        <w:rPr>
          <w:rFonts w:hint="eastAsia" w:ascii="仿宋_GB2312" w:hAnsi="宋体" w:eastAsia="仿宋_GB2312" w:cs="宋体"/>
          <w:color w:val="auto"/>
          <w:kern w:val="0"/>
          <w:sz w:val="32"/>
          <w:szCs w:val="28"/>
        </w:rPr>
        <w:t>每年结合重阳节、端午节各类传统节日，积极开展“敬老月”等主题助老活动。2015年携手《温州晚报》举办鹿城“十大最美老人”、“十大孝星”评选活动，大力宣传典型，树立敬老榜样。在松台广场举办市首届中老年舞蹈大赛鹿城赛区海选仪式。组织各镇、街道开展丰富多彩、各具特色的敬老活动，营造敬老爱老助老的浓厚氛围。</w:t>
      </w:r>
    </w:p>
    <w:p>
      <w:pPr>
        <w:pStyle w:val="3"/>
        <w:spacing w:line="416" w:lineRule="auto"/>
        <w:ind w:firstLine="643" w:firstLineChars="200"/>
        <w:rPr>
          <w:color w:val="auto"/>
        </w:rPr>
      </w:pPr>
      <w:bookmarkStart w:id="83" w:name="_Toc468224831"/>
      <w:bookmarkStart w:id="84" w:name="_Toc425831273"/>
      <w:bookmarkStart w:id="85" w:name="_Toc445976895"/>
      <w:bookmarkStart w:id="86" w:name="_Toc30081"/>
      <w:bookmarkStart w:id="87" w:name="_Toc21715"/>
      <w:bookmarkStart w:id="88" w:name="_Toc439698949"/>
      <w:r>
        <w:rPr>
          <w:rFonts w:hint="eastAsia"/>
          <w:color w:val="auto"/>
        </w:rPr>
        <w:t>二、存在问题</w:t>
      </w:r>
      <w:bookmarkEnd w:id="83"/>
      <w:bookmarkEnd w:id="84"/>
      <w:bookmarkEnd w:id="85"/>
      <w:bookmarkEnd w:id="86"/>
      <w:bookmarkEnd w:id="87"/>
      <w:bookmarkEnd w:id="88"/>
    </w:p>
    <w:p>
      <w:pPr>
        <w:spacing w:line="520" w:lineRule="atLeast"/>
        <w:ind w:firstLine="643" w:firstLineChars="200"/>
        <w:rPr>
          <w:rFonts w:ascii="仿宋_GB2312" w:hAnsi="宋体" w:eastAsia="仿宋_GB2312" w:cs="宋体"/>
          <w:color w:val="auto"/>
          <w:kern w:val="0"/>
          <w:sz w:val="32"/>
          <w:szCs w:val="28"/>
        </w:rPr>
      </w:pPr>
      <w:bookmarkStart w:id="89" w:name="_Toc28546"/>
      <w:bookmarkStart w:id="90" w:name="_Toc439698951"/>
      <w:bookmarkStart w:id="91" w:name="_Toc425831274"/>
      <w:r>
        <w:rPr>
          <w:rFonts w:hint="eastAsia" w:ascii="仿宋_GB2312" w:hAnsi="宋体" w:eastAsia="仿宋_GB2312" w:cs="宋体"/>
          <w:b/>
          <w:color w:val="auto"/>
          <w:kern w:val="0"/>
          <w:sz w:val="32"/>
          <w:szCs w:val="28"/>
        </w:rPr>
        <w:t>1、</w:t>
      </w:r>
      <w:bookmarkEnd w:id="89"/>
      <w:bookmarkEnd w:id="90"/>
      <w:r>
        <w:rPr>
          <w:rFonts w:hint="eastAsia" w:ascii="仿宋_GB2312" w:hAnsi="宋体" w:eastAsia="仿宋_GB2312" w:cs="宋体"/>
          <w:b/>
          <w:color w:val="auto"/>
          <w:kern w:val="0"/>
          <w:sz w:val="32"/>
          <w:szCs w:val="28"/>
        </w:rPr>
        <w:t>老龄事业发展总体滞后于社会</w:t>
      </w:r>
      <w:r>
        <w:rPr>
          <w:rFonts w:ascii="仿宋_GB2312" w:hAnsi="宋体" w:eastAsia="仿宋_GB2312" w:cs="宋体"/>
          <w:b/>
          <w:color w:val="auto"/>
          <w:kern w:val="0"/>
          <w:sz w:val="32"/>
          <w:szCs w:val="28"/>
        </w:rPr>
        <w:t>需求</w:t>
      </w:r>
      <w:r>
        <w:rPr>
          <w:rFonts w:hint="eastAsia" w:ascii="仿宋_GB2312" w:hAnsi="宋体" w:eastAsia="仿宋_GB2312" w:cs="宋体"/>
          <w:b/>
          <w:color w:val="auto"/>
          <w:kern w:val="0"/>
          <w:sz w:val="32"/>
          <w:szCs w:val="28"/>
        </w:rPr>
        <w:t>。</w:t>
      </w:r>
      <w:r>
        <w:rPr>
          <w:rFonts w:hint="eastAsia" w:ascii="仿宋_GB2312" w:hAnsi="宋体" w:eastAsia="仿宋_GB2312" w:cs="宋体"/>
          <w:color w:val="auto"/>
          <w:kern w:val="0"/>
          <w:sz w:val="32"/>
          <w:szCs w:val="28"/>
        </w:rPr>
        <w:t>“十二五”以来我区经济社会发展取得显著成效，居民生活水平大幅提升，对养老问题越发重视。但老龄事业发展仍存在政府投入相对不足，社区居家养老服务体系功能不完善，从事专业化养老服务的社会组织和市场主体缺乏，老龄公益机构力量相对薄弱等问题，老龄事业发展与全区老年人的期待仍有较大距离，需要在“十三五”发展中进一步妥善解决。</w:t>
      </w:r>
    </w:p>
    <w:p>
      <w:pPr>
        <w:spacing w:line="520" w:lineRule="atLeast"/>
        <w:ind w:firstLine="643" w:firstLineChars="200"/>
        <w:rPr>
          <w:rFonts w:ascii="仿宋_GB2312" w:hAnsi="宋体" w:eastAsia="仿宋_GB2312" w:cs="宋体"/>
          <w:color w:val="auto"/>
          <w:kern w:val="0"/>
          <w:sz w:val="32"/>
          <w:szCs w:val="28"/>
        </w:rPr>
      </w:pPr>
      <w:bookmarkStart w:id="92" w:name="_Toc23524"/>
      <w:bookmarkStart w:id="93" w:name="_Toc439698953"/>
      <w:r>
        <w:rPr>
          <w:rFonts w:hint="eastAsia" w:ascii="仿宋_GB2312" w:hAnsi="宋体" w:eastAsia="仿宋_GB2312" w:cs="宋体"/>
          <w:b/>
          <w:bCs/>
          <w:color w:val="auto"/>
          <w:kern w:val="0"/>
          <w:sz w:val="32"/>
          <w:szCs w:val="28"/>
        </w:rPr>
        <w:t>2、老年宜居环境建设有待加强。</w:t>
      </w:r>
      <w:r>
        <w:rPr>
          <w:rFonts w:hint="eastAsia" w:ascii="仿宋_GB2312" w:hAnsi="宋体" w:eastAsia="仿宋_GB2312" w:cs="宋体"/>
          <w:color w:val="auto"/>
          <w:kern w:val="0"/>
          <w:sz w:val="32"/>
          <w:szCs w:val="28"/>
        </w:rPr>
        <w:t>我区老年宜居环境建设仍然处于起步阶段，住房适老化改造推进难度较大，缺乏推动老年宜居环境建设相关导则和实施计划等政策支持。位于鹿城中心位置的老城区老年人口集聚，制约了老年人居住环境的提升。</w:t>
      </w:r>
      <w:bookmarkEnd w:id="91"/>
      <w:bookmarkEnd w:id="92"/>
      <w:bookmarkEnd w:id="93"/>
      <w:bookmarkStart w:id="94" w:name="_Toc26820"/>
      <w:bookmarkStart w:id="95" w:name="_Toc8879"/>
      <w:bookmarkStart w:id="96" w:name="_Toc445976896"/>
      <w:r>
        <w:rPr>
          <w:rFonts w:hint="eastAsia" w:ascii="仿宋_GB2312" w:hAnsi="宋体" w:eastAsia="仿宋_GB2312" w:cs="宋体"/>
          <w:color w:val="auto"/>
          <w:kern w:val="0"/>
          <w:sz w:val="32"/>
          <w:szCs w:val="28"/>
        </w:rPr>
        <w:t>个别老人居住的房屋还存在一定的安全隐患。</w:t>
      </w:r>
    </w:p>
    <w:p>
      <w:p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3、医疗</w:t>
      </w:r>
      <w:r>
        <w:rPr>
          <w:rFonts w:ascii="仿宋_GB2312" w:hAnsi="宋体" w:eastAsia="仿宋_GB2312" w:cs="宋体"/>
          <w:b/>
          <w:bCs/>
          <w:color w:val="auto"/>
          <w:kern w:val="0"/>
          <w:sz w:val="32"/>
          <w:szCs w:val="28"/>
        </w:rPr>
        <w:t>与养老</w:t>
      </w:r>
      <w:r>
        <w:rPr>
          <w:rFonts w:hint="eastAsia" w:ascii="仿宋_GB2312" w:hAnsi="宋体" w:eastAsia="仿宋_GB2312" w:cs="宋体"/>
          <w:b/>
          <w:bCs/>
          <w:color w:val="auto"/>
          <w:kern w:val="0"/>
          <w:sz w:val="32"/>
          <w:szCs w:val="28"/>
        </w:rPr>
        <w:t>“脱节”问题</w:t>
      </w:r>
      <w:r>
        <w:rPr>
          <w:rFonts w:ascii="仿宋_GB2312" w:hAnsi="宋体" w:eastAsia="仿宋_GB2312" w:cs="宋体"/>
          <w:b/>
          <w:bCs/>
          <w:color w:val="auto"/>
          <w:kern w:val="0"/>
          <w:sz w:val="32"/>
          <w:szCs w:val="28"/>
        </w:rPr>
        <w:t>依然突出</w:t>
      </w:r>
      <w:r>
        <w:rPr>
          <w:rFonts w:hint="eastAsia" w:ascii="仿宋_GB2312" w:hAnsi="宋体" w:eastAsia="仿宋_GB2312" w:cs="宋体"/>
          <w:b/>
          <w:bCs/>
          <w:color w:val="auto"/>
          <w:kern w:val="0"/>
          <w:sz w:val="32"/>
          <w:szCs w:val="28"/>
        </w:rPr>
        <w:t>。</w:t>
      </w:r>
      <w:r>
        <w:rPr>
          <w:rFonts w:hint="eastAsia" w:ascii="仿宋_GB2312" w:hAnsi="宋体" w:eastAsia="仿宋_GB2312" w:cs="宋体"/>
          <w:color w:val="auto"/>
          <w:kern w:val="0"/>
          <w:sz w:val="32"/>
          <w:szCs w:val="28"/>
        </w:rPr>
        <w:t>鹿城作为温州中心城区，虽然医疗资源相对丰富，但养老服务体系与医疗卫生服务体系“脱节”问题依然普遍，大部分养老服务机构仍无法有效获得医疗卫生机构的有效支持，难以在提供生活照料服务的同时提供良好的护理康复等健康养老服务。医疗卫生服务机构受制于人员短缺、权责不清、激励机制不足等因素，缺乏介入养老服务的积极性。此外，鹿城区老人意外伤害保险虽已正式推广，但长期照护保险制度缺失、健康养老服务支付渠道不足、服务主体之间缺乏衔接机制等问题。</w:t>
      </w:r>
    </w:p>
    <w:p>
      <w:pPr>
        <w:pStyle w:val="3"/>
        <w:spacing w:line="416" w:lineRule="auto"/>
        <w:ind w:firstLine="643" w:firstLineChars="200"/>
        <w:rPr>
          <w:color w:val="auto"/>
        </w:rPr>
      </w:pPr>
      <w:bookmarkStart w:id="97" w:name="_Toc468224832"/>
      <w:r>
        <w:rPr>
          <w:rFonts w:hint="eastAsia"/>
          <w:color w:val="auto"/>
        </w:rPr>
        <w:t>三、面临形势</w:t>
      </w:r>
      <w:bookmarkEnd w:id="94"/>
      <w:bookmarkEnd w:id="95"/>
      <w:bookmarkEnd w:id="96"/>
      <w:bookmarkEnd w:id="97"/>
    </w:p>
    <w:p>
      <w:pPr>
        <w:spacing w:line="520" w:lineRule="atLeast"/>
        <w:ind w:firstLine="640" w:firstLineChars="200"/>
        <w:rPr>
          <w:rFonts w:ascii="仿宋_GB2312" w:hAnsi="宋体" w:eastAsia="仿宋_GB2312" w:cs="宋体"/>
          <w:color w:val="auto"/>
          <w:kern w:val="0"/>
          <w:sz w:val="32"/>
          <w:szCs w:val="28"/>
        </w:rPr>
      </w:pPr>
      <w:r>
        <w:rPr>
          <w:rFonts w:hint="eastAsia" w:ascii="仿宋_GB2312" w:hAnsi="宋体" w:eastAsia="仿宋_GB2312" w:cs="宋体"/>
          <w:color w:val="auto"/>
          <w:kern w:val="0"/>
          <w:sz w:val="32"/>
          <w:szCs w:val="28"/>
        </w:rPr>
        <w:t>“十三五”时期，鹿城区老龄事业发展面临诸多新形势新情况，需要我们认真分析，趋利避害，科学应对。</w:t>
      </w:r>
    </w:p>
    <w:p>
      <w:pPr>
        <w:spacing w:line="520" w:lineRule="atLeast"/>
        <w:rPr>
          <w:rFonts w:ascii="仿宋_GB2312" w:hAnsi="宋体" w:eastAsia="仿宋_GB2312" w:cs="宋体"/>
          <w:color w:val="auto"/>
          <w:kern w:val="0"/>
          <w:sz w:val="32"/>
          <w:szCs w:val="28"/>
        </w:rPr>
      </w:pPr>
      <w:bookmarkStart w:id="98" w:name="_Toc439698950"/>
      <w:bookmarkStart w:id="99" w:name="_Toc22221"/>
      <w:r>
        <w:rPr>
          <w:rFonts w:hint="eastAsia" w:ascii="仿宋_GB2312" w:hAnsi="宋体" w:eastAsia="仿宋_GB2312" w:cs="宋体"/>
          <w:b/>
          <w:color w:val="auto"/>
          <w:kern w:val="0"/>
          <w:sz w:val="32"/>
          <w:szCs w:val="28"/>
        </w:rPr>
        <w:t xml:space="preserve">    1、老龄化进程加快，</w:t>
      </w:r>
      <w:bookmarkEnd w:id="98"/>
      <w:bookmarkEnd w:id="99"/>
      <w:r>
        <w:rPr>
          <w:rFonts w:hint="eastAsia" w:ascii="仿宋_GB2312" w:hAnsi="宋体" w:eastAsia="仿宋_GB2312" w:cs="宋体"/>
          <w:b/>
          <w:color w:val="auto"/>
          <w:kern w:val="0"/>
          <w:sz w:val="32"/>
          <w:szCs w:val="28"/>
        </w:rPr>
        <w:t>社会养老负担日益沉重。</w:t>
      </w:r>
      <w:bookmarkStart w:id="100" w:name="_Toc6296"/>
      <w:r>
        <w:rPr>
          <w:rFonts w:hint="eastAsia" w:ascii="仿宋_GB2312" w:hAnsi="宋体" w:eastAsia="仿宋_GB2312" w:cs="宋体"/>
          <w:color w:val="auto"/>
          <w:kern w:val="0"/>
          <w:sz w:val="32"/>
          <w:szCs w:val="28"/>
        </w:rPr>
        <w:t>近年来全区老年人口持续快速增长，呈现基数大、增速快、高龄化、空巢化趋势。2015年我区老龄人口达到144617人，占全区总人口的比重达到19.46%，是全市老龄化比例最高地区。预计到2020年全区老年人人口将达到突破20万人。人口快速老龄化的进一步加剧，老年人口社会抚养负担进一步加重，将给我区经济社会发展带来严峻挑战。</w:t>
      </w:r>
    </w:p>
    <w:p>
      <w:pPr>
        <w:numPr>
          <w:ilvl w:val="0"/>
          <w:numId w:val="2"/>
        </w:numPr>
        <w:spacing w:line="520" w:lineRule="atLeast"/>
        <w:ind w:firstLine="643" w:firstLineChars="200"/>
        <w:rPr>
          <w:rFonts w:ascii="仿宋_GB2312" w:hAnsi="宋体" w:eastAsia="仿宋_GB2312" w:cs="宋体"/>
          <w:color w:val="auto"/>
          <w:kern w:val="0"/>
          <w:sz w:val="32"/>
          <w:szCs w:val="28"/>
        </w:rPr>
      </w:pPr>
      <w:r>
        <w:rPr>
          <w:rFonts w:hint="eastAsia" w:ascii="仿宋_GB2312" w:hAnsi="宋体" w:eastAsia="仿宋_GB2312" w:cs="宋体"/>
          <w:b/>
          <w:color w:val="auto"/>
          <w:kern w:val="0"/>
          <w:sz w:val="32"/>
          <w:szCs w:val="28"/>
        </w:rPr>
        <w:t>国家、省市扶持政策持续出台，老龄事业发展环境优化</w:t>
      </w:r>
      <w:bookmarkEnd w:id="100"/>
      <w:r>
        <w:rPr>
          <w:rFonts w:hint="eastAsia" w:ascii="仿宋_GB2312" w:hAnsi="宋体" w:eastAsia="仿宋_GB2312" w:cs="宋体"/>
          <w:b/>
          <w:color w:val="auto"/>
          <w:kern w:val="0"/>
          <w:sz w:val="32"/>
          <w:szCs w:val="28"/>
        </w:rPr>
        <w:t>。</w:t>
      </w:r>
      <w:r>
        <w:rPr>
          <w:rFonts w:hint="eastAsia" w:ascii="仿宋_GB2312" w:hAnsi="宋体" w:eastAsia="仿宋_GB2312" w:cs="宋体"/>
          <w:color w:val="auto"/>
          <w:kern w:val="0"/>
          <w:sz w:val="32"/>
          <w:szCs w:val="28"/>
        </w:rPr>
        <w:t>党中央、国务院高度重视老龄工作，出台《国务院关于加快发展养老服务业的若干意见》等一系列文件，加快社会养老服务体系建立和老年产业发展。省、市也陆续出台支持老龄事业发展的各类文件，支持老龄事业发展。此外，温州作为全国养老服务业综合改革试点城市，为我区发展养老服务业提供了“制度红利”，有利于我区养老产业加快发展。</w:t>
      </w:r>
    </w:p>
    <w:p>
      <w:pPr>
        <w:spacing w:line="600" w:lineRule="exact"/>
        <w:ind w:firstLine="643" w:firstLineChars="200"/>
        <w:rPr>
          <w:rFonts w:ascii="仿宋_GB2312" w:hAnsi="宋体" w:eastAsia="仿宋_GB2312" w:cs="宋体"/>
          <w:color w:val="auto"/>
          <w:kern w:val="0"/>
          <w:sz w:val="32"/>
          <w:szCs w:val="28"/>
        </w:rPr>
        <w:sectPr>
          <w:pgSz w:w="11906" w:h="16838"/>
          <w:pgMar w:top="1474" w:right="1803" w:bottom="1587" w:left="1803" w:header="851" w:footer="992" w:gutter="0"/>
          <w:cols w:space="0" w:num="1"/>
          <w:docGrid w:type="lines" w:linePitch="312" w:charSpace="0"/>
        </w:sectPr>
      </w:pPr>
      <w:bookmarkStart w:id="101" w:name="_Toc14604"/>
      <w:r>
        <w:rPr>
          <w:rFonts w:hint="eastAsia" w:ascii="仿宋_GB2312" w:hAnsi="宋体" w:eastAsia="仿宋_GB2312" w:cs="宋体"/>
          <w:b/>
          <w:color w:val="auto"/>
          <w:kern w:val="0"/>
          <w:sz w:val="32"/>
          <w:szCs w:val="28"/>
        </w:rPr>
        <w:t>3、信息化智能化广泛应用，新模式新业态涌现</w:t>
      </w:r>
      <w:bookmarkEnd w:id="101"/>
      <w:r>
        <w:rPr>
          <w:rFonts w:hint="eastAsia" w:ascii="仿宋_GB2312" w:hAnsi="宋体" w:eastAsia="仿宋_GB2312" w:cs="宋体"/>
          <w:b/>
          <w:color w:val="auto"/>
          <w:kern w:val="0"/>
          <w:sz w:val="32"/>
          <w:szCs w:val="28"/>
        </w:rPr>
        <w:t>。</w:t>
      </w:r>
      <w:r>
        <w:rPr>
          <w:rFonts w:hint="eastAsia" w:ascii="仿宋_GB2312" w:hAnsi="宋体" w:eastAsia="仿宋_GB2312" w:cs="宋体"/>
          <w:color w:val="auto"/>
          <w:kern w:val="0"/>
          <w:sz w:val="32"/>
          <w:szCs w:val="28"/>
        </w:rPr>
        <w:t>在“互联网＋”时代，随着云计算、大数据、物联网等技术的不断发展，人口老龄化与经济发展信息化历史性融合，养老服务领域的新技术、新模式、新业态不断涌现，可穿戴智能产品大量应用，养老O2O成为整合社区资源、完善养老服务体系的新模式，极大提升社区、养老机构为老年人服务的能力和水平，对于我区推进养老服务社会化、改善老年人居家养老环境具有重大意义。</w:t>
      </w:r>
    </w:p>
    <w:p>
      <w:pPr>
        <w:pStyle w:val="2"/>
        <w:rPr>
          <w:color w:val="auto"/>
        </w:rPr>
      </w:pPr>
      <w:bookmarkStart w:id="102" w:name="_Toc468224833"/>
      <w:bookmarkStart w:id="103" w:name="_Toc7904"/>
      <w:r>
        <w:rPr>
          <w:rFonts w:hint="eastAsia"/>
          <w:color w:val="auto"/>
        </w:rPr>
        <w:t>第二章   指导思想与发展目标</w:t>
      </w:r>
      <w:bookmarkEnd w:id="102"/>
      <w:bookmarkEnd w:id="103"/>
    </w:p>
    <w:p>
      <w:pPr>
        <w:pStyle w:val="3"/>
        <w:rPr>
          <w:color w:val="auto"/>
          <w:lang w:val="zh-CN"/>
        </w:rPr>
      </w:pPr>
      <w:bookmarkStart w:id="104" w:name="_Toc468224834"/>
      <w:bookmarkStart w:id="105" w:name="_Toc17228"/>
      <w:r>
        <w:rPr>
          <w:rFonts w:hint="eastAsia"/>
          <w:color w:val="auto"/>
          <w:lang w:val="zh-CN"/>
        </w:rPr>
        <w:t>一、指导思想</w:t>
      </w:r>
      <w:bookmarkEnd w:id="104"/>
      <w:bookmarkEnd w:id="105"/>
    </w:p>
    <w:p>
      <w:pPr>
        <w:autoSpaceDE w:val="0"/>
        <w:autoSpaceDN w:val="0"/>
        <w:adjustRightInd w:val="0"/>
        <w:ind w:firstLine="640" w:firstLineChars="200"/>
        <w:rPr>
          <w:color w:val="auto"/>
        </w:rPr>
      </w:pPr>
      <w:r>
        <w:rPr>
          <w:rFonts w:hint="eastAsia" w:ascii="仿宋_GB2312" w:hAnsi="仿宋" w:eastAsia="仿宋_GB2312" w:cs="宋体"/>
          <w:color w:val="auto"/>
          <w:kern w:val="0"/>
          <w:sz w:val="32"/>
          <w:szCs w:val="32"/>
          <w:lang w:val="zh-CN"/>
        </w:rPr>
        <w:t>高举中国特色社会主义伟大旗帜，深入贯彻习近平总书记系列重要讲话精神，认真落实积极应对人口老龄化是国家的一项长期战略任务的要求，以“四个全面”战略布局为统领，以“创新、协调、绿色、开放、共享”理念为指引，以“三个城市”建设为总纲，树立积极、健康、快乐、和谐、法治老龄化理念，遵循“党委领导、政府主导、社会参与、全民行动”的老龄工作方针，围绕老年人需求，坚</w:t>
      </w:r>
      <w:r>
        <w:rPr>
          <w:rFonts w:hint="eastAsia" w:ascii="仿宋_GB2312" w:hAnsi="仿宋" w:eastAsia="仿宋_GB2312"/>
          <w:color w:val="auto"/>
          <w:sz w:val="32"/>
          <w:szCs w:val="32"/>
        </w:rPr>
        <w:t>持问题导向，以科学发展为主线，补齐短板，努力挖掘人口老龄化给鹿城带来的活力和机遇，推动老龄事业与鹿城经济社会发展之间的良性互动，</w:t>
      </w:r>
      <w:r>
        <w:rPr>
          <w:rFonts w:hint="eastAsia" w:ascii="仿宋_GB2312" w:hAnsi="仿宋" w:eastAsia="仿宋_GB2312"/>
          <w:color w:val="auto"/>
          <w:sz w:val="32"/>
          <w:szCs w:val="32"/>
          <w:lang w:val="zh-CN"/>
        </w:rPr>
        <w:t>把鹿城打造成为居家养老示范城区、老年教育示范城区和老龄产业特色示范城区，为</w:t>
      </w:r>
      <w:r>
        <w:rPr>
          <w:rFonts w:hint="eastAsia" w:ascii="仿宋_GB2312" w:hAnsi="仿宋" w:eastAsia="仿宋_GB2312"/>
          <w:color w:val="auto"/>
          <w:sz w:val="32"/>
          <w:szCs w:val="32"/>
        </w:rPr>
        <w:t>鹿城</w:t>
      </w:r>
      <w:r>
        <w:rPr>
          <w:rFonts w:hint="eastAsia" w:ascii="仿宋_GB2312" w:hAnsi="仿宋" w:eastAsia="仿宋_GB2312"/>
          <w:color w:val="auto"/>
          <w:sz w:val="32"/>
          <w:szCs w:val="32"/>
          <w:lang w:val="zh-CN"/>
        </w:rPr>
        <w:t>实现“五区”建设，</w:t>
      </w:r>
      <w:r>
        <w:rPr>
          <w:rFonts w:hint="eastAsia" w:ascii="仿宋_GB2312" w:hAnsi="仿宋" w:eastAsia="仿宋_GB2312"/>
          <w:color w:val="auto"/>
          <w:sz w:val="32"/>
          <w:szCs w:val="32"/>
        </w:rPr>
        <w:t>打造全面小康社会示范城区</w:t>
      </w:r>
      <w:r>
        <w:rPr>
          <w:rFonts w:hint="eastAsia" w:ascii="仿宋_GB2312" w:hAnsi="仿宋" w:eastAsia="仿宋_GB2312"/>
          <w:color w:val="auto"/>
          <w:sz w:val="32"/>
          <w:szCs w:val="32"/>
          <w:lang w:val="zh-CN"/>
        </w:rPr>
        <w:t>奠定坚实基础。</w:t>
      </w:r>
    </w:p>
    <w:p>
      <w:pPr>
        <w:rPr>
          <w:color w:val="auto"/>
        </w:rPr>
      </w:pPr>
    </w:p>
    <w:p>
      <w:pPr>
        <w:pStyle w:val="3"/>
        <w:rPr>
          <w:rFonts w:ascii="楷体_GB2312" w:hAnsi="楷体" w:eastAsia="楷体_GB2312"/>
          <w:color w:val="auto"/>
        </w:rPr>
      </w:pPr>
      <w:bookmarkStart w:id="106" w:name="_Toc468224835"/>
      <w:bookmarkStart w:id="107" w:name="_Toc24189"/>
      <w:r>
        <w:rPr>
          <w:rFonts w:hint="eastAsia"/>
          <w:color w:val="auto"/>
          <w:lang w:val="zh-CN"/>
        </w:rPr>
        <w:t>二、发展目标</w:t>
      </w:r>
      <w:bookmarkEnd w:id="106"/>
      <w:bookmarkEnd w:id="107"/>
    </w:p>
    <w:p>
      <w:pPr>
        <w:ind w:right="-99" w:rightChars="-47"/>
        <w:jc w:val="left"/>
        <w:rPr>
          <w:rFonts w:ascii="仿宋_GB2312" w:hAnsi="仿宋" w:eastAsia="仿宋_GB2312"/>
          <w:color w:val="auto"/>
          <w:sz w:val="32"/>
          <w:szCs w:val="32"/>
          <w:lang w:val="zh-CN"/>
        </w:rPr>
      </w:pPr>
      <w:r>
        <w:rPr>
          <w:rFonts w:hint="eastAsia" w:ascii="楷体_GB2312" w:hAnsi="楷体" w:eastAsia="楷体_GB2312" w:cs="宋体"/>
          <w:color w:val="auto"/>
          <w:kern w:val="0"/>
          <w:sz w:val="32"/>
          <w:szCs w:val="32"/>
        </w:rPr>
        <w:t xml:space="preserve">   </w:t>
      </w:r>
      <w:r>
        <w:rPr>
          <w:rFonts w:hint="eastAsia" w:ascii="楷体_GB2312" w:hAnsi="楷体" w:eastAsia="楷体_GB2312" w:cs="宋体"/>
          <w:color w:val="auto"/>
          <w:kern w:val="0"/>
          <w:sz w:val="32"/>
          <w:szCs w:val="32"/>
          <w:lang w:val="zh-CN"/>
        </w:rPr>
        <w:t>核心目标：</w:t>
      </w:r>
      <w:r>
        <w:rPr>
          <w:rFonts w:hint="eastAsia" w:ascii="仿宋_GB2312" w:hAnsi="仿宋" w:eastAsia="仿宋_GB2312" w:cs="宋体"/>
          <w:color w:val="auto"/>
          <w:kern w:val="0"/>
          <w:sz w:val="32"/>
          <w:szCs w:val="32"/>
          <w:lang w:val="zh-CN"/>
        </w:rPr>
        <w:t>鹿城通过打造</w:t>
      </w:r>
      <w:r>
        <w:rPr>
          <w:rFonts w:hint="eastAsia" w:ascii="仿宋_GB2312" w:hAnsi="仿宋" w:eastAsia="仿宋_GB2312" w:cs="宋体"/>
          <w:b/>
          <w:bCs/>
          <w:color w:val="auto"/>
          <w:kern w:val="0"/>
          <w:sz w:val="32"/>
          <w:szCs w:val="32"/>
          <w:lang w:val="zh-CN"/>
        </w:rPr>
        <w:t>居家养老示范城区、老年教育示范城区</w:t>
      </w:r>
      <w:r>
        <w:rPr>
          <w:rFonts w:hint="eastAsia" w:ascii="仿宋_GB2312" w:hAnsi="仿宋" w:eastAsia="仿宋_GB2312" w:cs="宋体"/>
          <w:color w:val="auto"/>
          <w:kern w:val="0"/>
          <w:sz w:val="32"/>
          <w:szCs w:val="32"/>
          <w:lang w:val="zh-CN"/>
        </w:rPr>
        <w:t>和</w:t>
      </w:r>
      <w:r>
        <w:rPr>
          <w:rFonts w:hint="eastAsia" w:ascii="仿宋_GB2312" w:hAnsi="仿宋" w:eastAsia="仿宋_GB2312" w:cs="宋体"/>
          <w:b/>
          <w:bCs/>
          <w:color w:val="auto"/>
          <w:kern w:val="0"/>
          <w:sz w:val="32"/>
          <w:szCs w:val="32"/>
          <w:lang w:val="zh-CN"/>
        </w:rPr>
        <w:t>老龄产业特色示范城区</w:t>
      </w:r>
      <w:r>
        <w:rPr>
          <w:rFonts w:hint="eastAsia" w:ascii="仿宋_GB2312" w:hAnsi="仿宋" w:eastAsia="仿宋_GB2312" w:cs="宋体"/>
          <w:color w:val="auto"/>
          <w:kern w:val="0"/>
          <w:sz w:val="32"/>
          <w:szCs w:val="32"/>
          <w:lang w:val="zh-CN"/>
        </w:rPr>
        <w:t>,在更高水平上实现</w:t>
      </w:r>
      <w:r>
        <w:rPr>
          <w:rFonts w:hint="eastAsia" w:ascii="仿宋_GB2312" w:hAnsi="仿宋" w:eastAsia="仿宋_GB2312" w:cs="宋体"/>
          <w:b/>
          <w:bCs/>
          <w:color w:val="auto"/>
          <w:kern w:val="0"/>
          <w:sz w:val="32"/>
          <w:szCs w:val="32"/>
          <w:lang w:val="zh-CN"/>
        </w:rPr>
        <w:t>老有所养、老有所医、老有所为、老有所学、老有所乐</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zh-CN"/>
        </w:rPr>
        <w:t>我区老年人幸福感明显增强，确保到2020年鹿城全体老年人率先迈入全面小康社会。</w:t>
      </w:r>
    </w:p>
    <w:p>
      <w:pPr>
        <w:autoSpaceDE w:val="0"/>
        <w:autoSpaceDN w:val="0"/>
        <w:adjustRightInd w:val="0"/>
        <w:spacing w:line="600" w:lineRule="exact"/>
        <w:ind w:firstLine="643" w:firstLineChars="200"/>
        <w:rPr>
          <w:rFonts w:ascii="仿宋_GB2312" w:hAnsi="仿宋" w:eastAsia="仿宋_GB2312" w:cs="宋体"/>
          <w:color w:val="auto"/>
          <w:kern w:val="0"/>
          <w:sz w:val="32"/>
          <w:szCs w:val="32"/>
          <w:lang w:val="zh-CN"/>
        </w:rPr>
      </w:pPr>
      <w:r>
        <w:rPr>
          <w:rFonts w:hint="eastAsia" w:ascii="黑体" w:hAnsi="黑体" w:eastAsia="黑体" w:cs="宋体"/>
          <w:b/>
          <w:bCs/>
          <w:color w:val="auto"/>
          <w:kern w:val="0"/>
          <w:sz w:val="32"/>
          <w:szCs w:val="32"/>
          <w:lang w:val="zh-CN"/>
        </w:rPr>
        <w:t>打造居家养老示范城区。</w:t>
      </w:r>
      <w:r>
        <w:rPr>
          <w:rFonts w:hint="eastAsia" w:ascii="仿宋_GB2312" w:hAnsi="仿宋" w:eastAsia="仿宋_GB2312" w:cs="宋体"/>
          <w:color w:val="auto"/>
          <w:kern w:val="0"/>
          <w:sz w:val="32"/>
          <w:szCs w:val="32"/>
          <w:lang w:val="zh-CN"/>
        </w:rPr>
        <w:t>充分发挥鹿城</w:t>
      </w:r>
      <w:r>
        <w:rPr>
          <w:rFonts w:hint="eastAsia" w:ascii="仿宋_GB2312" w:hAnsi="仿宋_GB2312" w:eastAsia="仿宋_GB2312" w:cs="仿宋_GB2312"/>
          <w:color w:val="auto"/>
          <w:sz w:val="32"/>
          <w:szCs w:val="32"/>
        </w:rPr>
        <w:t>大都市区核心区</w:t>
      </w:r>
      <w:r>
        <w:rPr>
          <w:rFonts w:hint="eastAsia" w:ascii="仿宋_GB2312" w:hAnsi="仿宋" w:eastAsia="仿宋_GB2312" w:cs="宋体"/>
          <w:color w:val="auto"/>
          <w:kern w:val="0"/>
          <w:sz w:val="32"/>
          <w:szCs w:val="32"/>
          <w:lang w:val="zh-CN"/>
        </w:rPr>
        <w:t>的优势，倡导健康理念，加强健康支持，推进医养融合，发展养生服务，完善三级居家养老服务体系，创新养老照料中心运行机制，提升经济供养水平，把鹿城打造成为居家养老示范城市。</w:t>
      </w:r>
    </w:p>
    <w:p>
      <w:pPr>
        <w:autoSpaceDE w:val="0"/>
        <w:autoSpaceDN w:val="0"/>
        <w:adjustRightInd w:val="0"/>
        <w:spacing w:line="600" w:lineRule="exact"/>
        <w:ind w:firstLine="643" w:firstLineChars="200"/>
        <w:rPr>
          <w:rFonts w:ascii="仿宋_GB2312" w:hAnsi="楷体" w:eastAsia="仿宋_GB2312" w:cs="宋体"/>
          <w:color w:val="auto"/>
          <w:kern w:val="0"/>
          <w:sz w:val="32"/>
          <w:szCs w:val="32"/>
          <w:lang w:val="zh-CN"/>
        </w:rPr>
      </w:pPr>
      <w:r>
        <w:rPr>
          <w:rFonts w:hint="eastAsia" w:ascii="黑体" w:hAnsi="黑体" w:eastAsia="黑体" w:cs="宋体"/>
          <w:b/>
          <w:bCs/>
          <w:color w:val="auto"/>
          <w:kern w:val="0"/>
          <w:sz w:val="32"/>
          <w:szCs w:val="32"/>
          <w:lang w:val="zh-CN"/>
        </w:rPr>
        <w:t>打造老年教育示范城区。</w:t>
      </w:r>
      <w:r>
        <w:rPr>
          <w:rFonts w:hint="eastAsia" w:ascii="仿宋_GB2312" w:hAnsi="仿宋" w:eastAsia="仿宋_GB2312" w:cs="宋体"/>
          <w:color w:val="auto"/>
          <w:kern w:val="0"/>
          <w:sz w:val="32"/>
          <w:szCs w:val="32"/>
          <w:lang w:val="zh-CN"/>
        </w:rPr>
        <w:t>充分发挥鹿城</w:t>
      </w:r>
      <w:r>
        <w:rPr>
          <w:rFonts w:hint="eastAsia" w:ascii="仿宋_GB2312" w:hAnsi="仿宋_GB2312" w:eastAsia="仿宋_GB2312" w:cs="仿宋_GB2312"/>
          <w:color w:val="auto"/>
          <w:sz w:val="32"/>
          <w:szCs w:val="32"/>
        </w:rPr>
        <w:t>改革开放先行区</w:t>
      </w:r>
      <w:r>
        <w:rPr>
          <w:rFonts w:hint="eastAsia" w:ascii="仿宋_GB2312" w:hAnsi="仿宋" w:eastAsia="仿宋_GB2312" w:cs="宋体"/>
          <w:color w:val="auto"/>
          <w:kern w:val="0"/>
          <w:sz w:val="32"/>
          <w:szCs w:val="32"/>
          <w:lang w:val="zh-CN"/>
        </w:rPr>
        <w:t>优势，</w:t>
      </w:r>
      <w:r>
        <w:rPr>
          <w:rFonts w:hint="eastAsia" w:ascii="仿宋_GB2312" w:hAnsi="仿宋" w:eastAsia="仿宋_GB2312"/>
          <w:color w:val="auto"/>
          <w:sz w:val="32"/>
          <w:szCs w:val="32"/>
        </w:rPr>
        <w:t>推动形成以鹿城老年大学为总校，社区基层老年教育办学为基础，老年远程教育为平台，构建“总校+基层+远程”的“三位一体”新型老年教育服务体系。大力推进“养教医”结合，积极倡导老年教育信息化，</w:t>
      </w:r>
      <w:r>
        <w:rPr>
          <w:rFonts w:hint="eastAsia" w:ascii="仿宋_GB2312" w:hAnsi="仿宋" w:eastAsia="仿宋_GB2312" w:cs="宋体"/>
          <w:color w:val="auto"/>
          <w:kern w:val="0"/>
          <w:sz w:val="32"/>
          <w:szCs w:val="32"/>
          <w:lang w:val="zh-CN"/>
        </w:rPr>
        <w:t>把鹿城打造成为老年教育示范城区。</w:t>
      </w:r>
    </w:p>
    <w:p>
      <w:pPr>
        <w:autoSpaceDE w:val="0"/>
        <w:autoSpaceDN w:val="0"/>
        <w:adjustRightInd w:val="0"/>
        <w:spacing w:line="600" w:lineRule="exact"/>
        <w:ind w:firstLine="643" w:firstLineChars="200"/>
        <w:rPr>
          <w:rFonts w:ascii="仿宋_GB2312" w:hAnsi="仿宋" w:eastAsia="仿宋_GB2312" w:cs="宋体"/>
          <w:color w:val="auto"/>
          <w:kern w:val="0"/>
          <w:sz w:val="32"/>
          <w:szCs w:val="32"/>
          <w:lang w:val="zh-CN"/>
        </w:rPr>
      </w:pPr>
      <w:r>
        <w:rPr>
          <w:rFonts w:hint="eastAsia" w:ascii="黑体" w:hAnsi="黑体" w:eastAsia="黑体" w:cs="宋体"/>
          <w:b/>
          <w:bCs/>
          <w:color w:val="auto"/>
          <w:kern w:val="0"/>
          <w:sz w:val="32"/>
          <w:szCs w:val="32"/>
          <w:lang w:val="zh-CN"/>
        </w:rPr>
        <w:t>打造老龄产业特色城区。</w:t>
      </w:r>
      <w:r>
        <w:rPr>
          <w:rFonts w:hint="eastAsia" w:ascii="仿宋_GB2312" w:hAnsi="仿宋" w:eastAsia="仿宋_GB2312" w:cs="宋体"/>
          <w:color w:val="auto"/>
          <w:kern w:val="0"/>
          <w:sz w:val="32"/>
          <w:szCs w:val="32"/>
          <w:lang w:val="zh-CN"/>
        </w:rPr>
        <w:t>充分发挥鹿城作为</w:t>
      </w:r>
      <w:r>
        <w:rPr>
          <w:rFonts w:hint="eastAsia" w:ascii="仿宋_GB2312" w:hAnsi="仿宋_GB2312" w:eastAsia="仿宋_GB2312" w:cs="仿宋_GB2312"/>
          <w:color w:val="auto"/>
          <w:sz w:val="32"/>
          <w:szCs w:val="32"/>
        </w:rPr>
        <w:t>城市经济集聚区</w:t>
      </w:r>
      <w:r>
        <w:rPr>
          <w:rFonts w:hint="eastAsia" w:ascii="仿宋_GB2312" w:hAnsi="仿宋" w:eastAsia="仿宋_GB2312" w:cs="宋体"/>
          <w:color w:val="auto"/>
          <w:kern w:val="0"/>
          <w:sz w:val="32"/>
          <w:szCs w:val="32"/>
          <w:lang w:val="zh-CN"/>
        </w:rPr>
        <w:t>的优势，结合鹿城良好的轻工业基础，确立养老服务在生活性服务业中的重要地位，引导民营资本有序参与老龄产业，结合全区“退二进三”工作，打造养老服务业集聚区，以鹿城轻工园区等产业平台为载体，积极发展老年用品制造业，充分发挥温州作为国家金融综合改革试验区的优势，鼓励老年金融产品创新，把鹿城打造成为老龄产业特色</w:t>
      </w:r>
      <w:r>
        <w:rPr>
          <w:rFonts w:hint="eastAsia" w:ascii="仿宋_GB2312" w:hAnsi="仿宋" w:eastAsia="仿宋_GB2312" w:cs="宋体"/>
          <w:color w:val="auto"/>
          <w:kern w:val="0"/>
          <w:sz w:val="32"/>
          <w:szCs w:val="32"/>
        </w:rPr>
        <w:t>示范城区</w:t>
      </w:r>
      <w:r>
        <w:rPr>
          <w:rFonts w:hint="eastAsia" w:ascii="仿宋_GB2312" w:hAnsi="仿宋" w:eastAsia="仿宋_GB2312" w:cs="宋体"/>
          <w:color w:val="auto"/>
          <w:kern w:val="0"/>
          <w:sz w:val="32"/>
          <w:szCs w:val="32"/>
          <w:lang w:val="zh-CN"/>
        </w:rPr>
        <w:t>。</w:t>
      </w:r>
    </w:p>
    <w:p>
      <w:pPr>
        <w:autoSpaceDE w:val="0"/>
        <w:autoSpaceDN w:val="0"/>
        <w:adjustRightInd w:val="0"/>
        <w:spacing w:line="600" w:lineRule="exact"/>
        <w:ind w:firstLine="640" w:firstLineChars="200"/>
        <w:rPr>
          <w:rFonts w:ascii="仿宋_GB2312" w:hAnsi="仿宋" w:eastAsia="仿宋_GB2312" w:cs="宋体"/>
          <w:color w:val="auto"/>
          <w:kern w:val="0"/>
          <w:sz w:val="32"/>
          <w:szCs w:val="32"/>
          <w:lang w:val="zh-CN"/>
        </w:rPr>
      </w:pPr>
    </w:p>
    <w:p>
      <w:pPr>
        <w:autoSpaceDE w:val="0"/>
        <w:autoSpaceDN w:val="0"/>
        <w:adjustRightInd w:val="0"/>
        <w:spacing w:before="312" w:beforeLines="100" w:after="312" w:afterLines="100" w:line="480" w:lineRule="exact"/>
        <w:jc w:val="center"/>
        <w:rPr>
          <w:rFonts w:ascii="宋体" w:cs="宋体"/>
          <w:b/>
          <w:bCs/>
          <w:color w:val="auto"/>
          <w:kern w:val="0"/>
          <w:sz w:val="30"/>
          <w:szCs w:val="30"/>
          <w:lang w:val="zh-CN"/>
        </w:rPr>
      </w:pPr>
    </w:p>
    <w:p>
      <w:pPr>
        <w:autoSpaceDE w:val="0"/>
        <w:autoSpaceDN w:val="0"/>
        <w:adjustRightInd w:val="0"/>
        <w:spacing w:before="312" w:beforeLines="100" w:after="312" w:afterLines="100" w:line="480" w:lineRule="exact"/>
        <w:jc w:val="center"/>
        <w:rPr>
          <w:rFonts w:ascii="宋体" w:cs="宋体"/>
          <w:b/>
          <w:bCs/>
          <w:color w:val="auto"/>
          <w:kern w:val="0"/>
          <w:sz w:val="30"/>
          <w:szCs w:val="30"/>
          <w:lang w:val="zh-CN"/>
        </w:rPr>
      </w:pPr>
    </w:p>
    <w:p>
      <w:pPr>
        <w:pStyle w:val="3"/>
        <w:rPr>
          <w:rFonts w:ascii="楷体_GB2312" w:hAnsi="楷体" w:eastAsia="楷体_GB2312"/>
          <w:color w:val="auto"/>
        </w:rPr>
      </w:pPr>
      <w:bookmarkStart w:id="108" w:name="_Toc468224836"/>
      <w:r>
        <w:rPr>
          <w:rFonts w:hint="eastAsia"/>
          <w:color w:val="auto"/>
          <w:lang w:val="zh-CN"/>
        </w:rPr>
        <w:t>三、基本原则</w:t>
      </w:r>
      <w:bookmarkEnd w:id="108"/>
    </w:p>
    <w:p>
      <w:pPr>
        <w:autoSpaceDE w:val="0"/>
        <w:autoSpaceDN w:val="0"/>
        <w:adjustRightInd w:val="0"/>
        <w:ind w:firstLine="742" w:firstLineChars="231"/>
        <w:rPr>
          <w:rFonts w:ascii="仿宋_GB2312" w:hAnsi="仿宋" w:eastAsia="仿宋_GB2312" w:cs="宋体"/>
          <w:color w:val="auto"/>
          <w:kern w:val="0"/>
          <w:sz w:val="32"/>
          <w:szCs w:val="32"/>
          <w:lang w:val="zh-CN"/>
        </w:rPr>
      </w:pPr>
      <w:r>
        <w:rPr>
          <w:rFonts w:hint="eastAsia" w:ascii="仿宋_GB2312" w:hAnsi="仿宋" w:eastAsia="仿宋_GB2312" w:cs="Calibri"/>
          <w:b/>
          <w:color w:val="auto"/>
          <w:kern w:val="0"/>
          <w:sz w:val="32"/>
          <w:szCs w:val="32"/>
          <w:lang w:val="zh-CN"/>
        </w:rPr>
        <w:t>1.统筹协调、特色发展</w:t>
      </w:r>
      <w:r>
        <w:rPr>
          <w:rFonts w:hint="eastAsia" w:ascii="仿宋_GB2312" w:hAnsi="仿宋" w:eastAsia="仿宋_GB2312" w:cs="宋体"/>
          <w:b/>
          <w:color w:val="auto"/>
          <w:kern w:val="0"/>
          <w:sz w:val="32"/>
          <w:szCs w:val="32"/>
          <w:lang w:val="zh-CN"/>
        </w:rPr>
        <w:t>。</w:t>
      </w:r>
      <w:r>
        <w:rPr>
          <w:rFonts w:hint="eastAsia" w:ascii="仿宋_GB2312" w:hAnsi="仿宋" w:eastAsia="仿宋_GB2312" w:cs="宋体"/>
          <w:color w:val="auto"/>
          <w:kern w:val="0"/>
          <w:sz w:val="32"/>
          <w:szCs w:val="32"/>
          <w:lang w:val="zh-CN"/>
        </w:rPr>
        <w:t>紧紧围绕</w:t>
      </w:r>
      <w:r>
        <w:rPr>
          <w:rFonts w:hint="eastAsia" w:ascii="仿宋_GB2312" w:hAnsi="仿宋_GB2312" w:eastAsia="仿宋_GB2312" w:cs="仿宋_GB2312"/>
          <w:color w:val="auto"/>
          <w:kern w:val="0"/>
          <w:sz w:val="32"/>
          <w:szCs w:val="32"/>
          <w:lang w:val="zh-CN"/>
        </w:rPr>
        <w:t>实现鹿城</w:t>
      </w:r>
      <w:r>
        <w:rPr>
          <w:rFonts w:hint="eastAsia" w:ascii="仿宋_GB2312" w:hAnsi="仿宋_GB2312" w:eastAsia="仿宋_GB2312" w:cs="仿宋_GB2312"/>
          <w:color w:val="auto"/>
          <w:sz w:val="32"/>
          <w:szCs w:val="32"/>
        </w:rPr>
        <w:t>打造全面小康社会示范城区</w:t>
      </w:r>
      <w:r>
        <w:rPr>
          <w:rFonts w:hint="eastAsia" w:ascii="仿宋_GB2312" w:hAnsi="仿宋" w:eastAsia="仿宋_GB2312" w:cs="宋体"/>
          <w:color w:val="auto"/>
          <w:kern w:val="0"/>
          <w:sz w:val="32"/>
          <w:szCs w:val="32"/>
          <w:lang w:val="zh-CN"/>
        </w:rPr>
        <w:t>的宏伟目标，确立鹿城老龄事业在改革发展大局中的重要地位，统筹老龄服务事业和产业发展的双轮驱动，坚持“保基本、兜底线”，突出鹿城老龄事业的特色发展，推进老龄事业与鹿城经济社会协调发展。</w:t>
      </w:r>
    </w:p>
    <w:p>
      <w:pPr>
        <w:autoSpaceDE w:val="0"/>
        <w:autoSpaceDN w:val="0"/>
        <w:adjustRightInd w:val="0"/>
        <w:ind w:firstLine="742" w:firstLineChars="231"/>
        <w:rPr>
          <w:rFonts w:ascii="仿宋_GB2312" w:hAnsi="仿宋" w:eastAsia="仿宋_GB2312" w:cs="宋体"/>
          <w:color w:val="auto"/>
          <w:kern w:val="0"/>
          <w:sz w:val="32"/>
          <w:szCs w:val="32"/>
          <w:lang w:val="zh-CN"/>
        </w:rPr>
      </w:pPr>
      <w:r>
        <w:rPr>
          <w:rFonts w:hint="eastAsia" w:ascii="仿宋_GB2312" w:hAnsi="仿宋" w:eastAsia="仿宋_GB2312" w:cs="Calibri"/>
          <w:b/>
          <w:color w:val="auto"/>
          <w:kern w:val="0"/>
          <w:sz w:val="32"/>
          <w:szCs w:val="32"/>
          <w:lang w:val="zh-CN"/>
        </w:rPr>
        <w:t>2.政府主导、市场调节。</w:t>
      </w:r>
      <w:r>
        <w:rPr>
          <w:rFonts w:hint="eastAsia" w:ascii="仿宋_GB2312" w:hAnsi="仿宋" w:eastAsia="仿宋_GB2312" w:cs="宋体"/>
          <w:color w:val="auto"/>
          <w:kern w:val="0"/>
          <w:sz w:val="32"/>
          <w:szCs w:val="32"/>
          <w:lang w:val="zh-CN"/>
        </w:rPr>
        <w:t>注重政府在发展老龄事业中的引领作用，坚持政府主导、社会参与、市场运作相结合，调动社会力量积极参与老龄事业发展，健全老年人参与社会的体制机制，发挥市场机制在资源配置中的决定性作用，建立充满活力、更加科学的老龄事业发展体制机制。</w:t>
      </w:r>
    </w:p>
    <w:p>
      <w:pPr>
        <w:autoSpaceDE w:val="0"/>
        <w:autoSpaceDN w:val="0"/>
        <w:adjustRightInd w:val="0"/>
        <w:ind w:firstLine="742" w:firstLineChars="231"/>
        <w:rPr>
          <w:rFonts w:ascii="仿宋_GB2312" w:hAnsi="仿宋" w:eastAsia="仿宋_GB2312" w:cs="宋体"/>
          <w:color w:val="auto"/>
          <w:kern w:val="0"/>
          <w:sz w:val="32"/>
          <w:szCs w:val="32"/>
          <w:lang w:val="zh-CN"/>
        </w:rPr>
      </w:pPr>
      <w:r>
        <w:rPr>
          <w:rFonts w:hint="eastAsia" w:ascii="仿宋_GB2312" w:hAnsi="仿宋" w:eastAsia="仿宋_GB2312" w:cs="Calibri"/>
          <w:b/>
          <w:color w:val="auto"/>
          <w:kern w:val="0"/>
          <w:sz w:val="32"/>
          <w:szCs w:val="32"/>
          <w:lang w:val="zh-CN"/>
        </w:rPr>
        <w:t>3.改革创新、弘扬传统。</w:t>
      </w:r>
      <w:r>
        <w:rPr>
          <w:rFonts w:hint="eastAsia" w:ascii="仿宋_GB2312" w:hAnsi="仿宋" w:eastAsia="仿宋_GB2312" w:cs="宋体"/>
          <w:color w:val="auto"/>
          <w:kern w:val="0"/>
          <w:sz w:val="32"/>
          <w:szCs w:val="32"/>
          <w:lang w:val="zh-CN"/>
        </w:rPr>
        <w:t>推进老龄事业重点领域改革，创新政策法规、投入机制、服务模式和监管体制，完善多支柱的养老保障体系，多层次的医疗保障体系，多元化的养老服务体系，大力弘扬尊老助老扶老的传统美德，培育家庭养老、社会助老、志愿者扶老的新风尚。</w:t>
      </w:r>
    </w:p>
    <w:p>
      <w:pPr>
        <w:autoSpaceDE w:val="0"/>
        <w:autoSpaceDN w:val="0"/>
        <w:adjustRightInd w:val="0"/>
        <w:ind w:firstLine="742" w:firstLineChars="231"/>
        <w:rPr>
          <w:rFonts w:ascii="仿宋_GB2312" w:hAnsi="仿宋" w:eastAsia="仿宋_GB2312" w:cs="宋体"/>
          <w:color w:val="auto"/>
          <w:kern w:val="0"/>
          <w:sz w:val="32"/>
          <w:szCs w:val="32"/>
          <w:lang w:val="zh-CN"/>
        </w:rPr>
      </w:pPr>
      <w:r>
        <w:rPr>
          <w:rFonts w:hint="eastAsia" w:ascii="仿宋_GB2312" w:hAnsi="仿宋" w:eastAsia="仿宋_GB2312" w:cs="Calibri"/>
          <w:b/>
          <w:color w:val="auto"/>
          <w:kern w:val="0"/>
          <w:sz w:val="32"/>
          <w:szCs w:val="32"/>
          <w:lang w:val="zh-CN"/>
        </w:rPr>
        <w:t>4.因地制宜、分类推进。</w:t>
      </w:r>
      <w:r>
        <w:rPr>
          <w:rFonts w:hint="eastAsia" w:ascii="仿宋_GB2312" w:hAnsi="仿宋" w:eastAsia="仿宋_GB2312" w:cs="宋体"/>
          <w:color w:val="auto"/>
          <w:kern w:val="0"/>
          <w:sz w:val="32"/>
          <w:szCs w:val="32"/>
          <w:lang w:val="zh-CN"/>
        </w:rPr>
        <w:t>注重城乡、区域老龄事业和谐发展，加大对农村地区的政策支持力度，引导资源配置向基层、向农村倾斜，促进老龄事业的城乡一体化发展；因地制宜开展老龄工作，着力破解老龄事业发展面临的重点和难点问题，推动老龄事业发展新格局。</w:t>
      </w:r>
    </w:p>
    <w:p>
      <w:pPr>
        <w:autoSpaceDE w:val="0"/>
        <w:autoSpaceDN w:val="0"/>
        <w:adjustRightInd w:val="0"/>
        <w:spacing w:before="312" w:beforeLines="100" w:after="312" w:afterLines="100" w:line="480" w:lineRule="exact"/>
        <w:jc w:val="center"/>
        <w:rPr>
          <w:rFonts w:hint="eastAsia" w:ascii="宋体" w:cs="宋体"/>
          <w:b/>
          <w:bCs/>
          <w:color w:val="auto"/>
          <w:kern w:val="0"/>
          <w:sz w:val="30"/>
          <w:szCs w:val="30"/>
          <w:lang w:val="zh-CN"/>
        </w:rPr>
      </w:pPr>
    </w:p>
    <w:p>
      <w:pPr>
        <w:autoSpaceDE w:val="0"/>
        <w:autoSpaceDN w:val="0"/>
        <w:adjustRightInd w:val="0"/>
        <w:spacing w:before="312" w:beforeLines="100" w:after="312" w:afterLines="100" w:line="480" w:lineRule="exact"/>
        <w:jc w:val="center"/>
        <w:rPr>
          <w:rFonts w:ascii="宋体" w:cs="宋体"/>
          <w:color w:val="auto"/>
          <w:kern w:val="0"/>
          <w:sz w:val="30"/>
          <w:szCs w:val="30"/>
          <w:lang w:val="zh-CN"/>
        </w:rPr>
      </w:pPr>
      <w:r>
        <w:rPr>
          <w:rFonts w:hint="eastAsia" w:ascii="宋体" w:cs="宋体"/>
          <w:b/>
          <w:bCs/>
          <w:color w:val="auto"/>
          <w:kern w:val="0"/>
          <w:sz w:val="30"/>
          <w:szCs w:val="30"/>
          <w:lang w:val="zh-CN"/>
        </w:rPr>
        <w:t>鹿城区老龄事业发展</w:t>
      </w:r>
      <w:r>
        <w:rPr>
          <w:rFonts w:ascii="宋体" w:cs="宋体"/>
          <w:b/>
          <w:bCs/>
          <w:color w:val="auto"/>
          <w:kern w:val="0"/>
          <w:sz w:val="30"/>
          <w:szCs w:val="30"/>
          <w:lang w:val="zh-CN"/>
        </w:rPr>
        <w:t>“</w:t>
      </w:r>
      <w:r>
        <w:rPr>
          <w:rFonts w:hint="eastAsia" w:ascii="宋体" w:cs="宋体"/>
          <w:b/>
          <w:bCs/>
          <w:color w:val="auto"/>
          <w:kern w:val="0"/>
          <w:sz w:val="30"/>
          <w:szCs w:val="30"/>
          <w:lang w:val="zh-CN"/>
        </w:rPr>
        <w:t>十三五</w:t>
      </w:r>
      <w:r>
        <w:rPr>
          <w:rFonts w:ascii="宋体" w:cs="宋体"/>
          <w:b/>
          <w:bCs/>
          <w:color w:val="auto"/>
          <w:kern w:val="0"/>
          <w:sz w:val="30"/>
          <w:szCs w:val="30"/>
          <w:lang w:val="zh-CN"/>
        </w:rPr>
        <w:t>”</w:t>
      </w:r>
      <w:r>
        <w:rPr>
          <w:rFonts w:hint="eastAsia" w:ascii="宋体" w:cs="宋体"/>
          <w:b/>
          <w:bCs/>
          <w:color w:val="auto"/>
          <w:kern w:val="0"/>
          <w:sz w:val="30"/>
          <w:szCs w:val="30"/>
          <w:lang w:val="zh-CN"/>
        </w:rPr>
        <w:t>规划主要指标</w:t>
      </w:r>
    </w:p>
    <w:tbl>
      <w:tblPr>
        <w:tblStyle w:val="20"/>
        <w:tblW w:w="7789" w:type="dxa"/>
        <w:jc w:val="center"/>
        <w:tblLayout w:type="fixed"/>
        <w:tblCellMar>
          <w:top w:w="0" w:type="dxa"/>
          <w:left w:w="0" w:type="dxa"/>
          <w:bottom w:w="0" w:type="dxa"/>
          <w:right w:w="0" w:type="dxa"/>
        </w:tblCellMar>
      </w:tblPr>
      <w:tblGrid>
        <w:gridCol w:w="844"/>
        <w:gridCol w:w="3622"/>
        <w:gridCol w:w="595"/>
        <w:gridCol w:w="1453"/>
        <w:gridCol w:w="1275"/>
      </w:tblGrid>
      <w:tr>
        <w:trPr>
          <w:trHeight w:val="613"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b/>
                <w:color w:val="auto"/>
                <w:kern w:val="0"/>
                <w:lang w:val="zh-CN"/>
              </w:rPr>
            </w:pPr>
            <w:r>
              <w:rPr>
                <w:rFonts w:hint="eastAsia" w:ascii="微软雅黑" w:eastAsia="微软雅黑" w:cs="微软雅黑"/>
                <w:b/>
                <w:color w:val="auto"/>
                <w:kern w:val="0"/>
                <w:lang w:val="zh-CN"/>
              </w:rPr>
              <w:t>序号</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b/>
                <w:color w:val="auto"/>
                <w:kern w:val="0"/>
                <w:lang w:val="zh-CN"/>
              </w:rPr>
            </w:pPr>
            <w:r>
              <w:rPr>
                <w:rFonts w:hint="eastAsia" w:ascii="微软雅黑" w:eastAsia="微软雅黑" w:cs="微软雅黑"/>
                <w:b/>
                <w:color w:val="auto"/>
                <w:kern w:val="0"/>
                <w:lang w:val="zh-CN"/>
              </w:rPr>
              <w:t>指标名称</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b/>
                <w:color w:val="auto"/>
                <w:kern w:val="0"/>
                <w:lang w:val="zh-CN"/>
              </w:rPr>
            </w:pPr>
            <w:r>
              <w:rPr>
                <w:rFonts w:hint="eastAsia" w:ascii="微软雅黑" w:eastAsia="微软雅黑" w:cs="微软雅黑"/>
                <w:b/>
                <w:color w:val="auto"/>
                <w:kern w:val="0"/>
                <w:lang w:val="zh-CN"/>
              </w:rPr>
              <w:t>单位</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b/>
                <w:color w:val="auto"/>
                <w:kern w:val="0"/>
                <w:lang w:val="zh-CN"/>
              </w:rPr>
            </w:pPr>
            <w:r>
              <w:rPr>
                <w:rFonts w:cs="Calibri"/>
                <w:b/>
                <w:color w:val="auto"/>
                <w:kern w:val="0"/>
                <w:lang w:val="zh-CN"/>
              </w:rPr>
              <w:t>2015</w:t>
            </w:r>
            <w:r>
              <w:rPr>
                <w:rFonts w:hint="eastAsia" w:ascii="宋体" w:cs="宋体"/>
                <w:b/>
                <w:color w:val="auto"/>
                <w:kern w:val="0"/>
                <w:lang w:val="zh-CN"/>
              </w:rPr>
              <w:t>年</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b/>
                <w:color w:val="auto"/>
                <w:kern w:val="0"/>
                <w:lang w:val="zh-CN"/>
              </w:rPr>
            </w:pPr>
            <w:r>
              <w:rPr>
                <w:rFonts w:ascii="微软雅黑" w:eastAsia="微软雅黑" w:cs="微软雅黑"/>
                <w:b/>
                <w:color w:val="auto"/>
                <w:kern w:val="0"/>
                <w:lang w:val="zh-CN"/>
              </w:rPr>
              <w:t>2020年</w:t>
            </w:r>
          </w:p>
        </w:tc>
      </w:tr>
      <w:tr>
        <w:tblPrEx>
          <w:tblCellMar>
            <w:top w:w="0" w:type="dxa"/>
            <w:left w:w="0" w:type="dxa"/>
            <w:bottom w:w="0" w:type="dxa"/>
            <w:right w:w="0" w:type="dxa"/>
          </w:tblCellMar>
        </w:tblPrEx>
        <w:trPr>
          <w:trHeight w:val="629"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color w:val="auto"/>
                <w:kern w:val="0"/>
                <w:lang w:val="zh-CN"/>
              </w:rPr>
            </w:pPr>
            <w:r>
              <w:rPr>
                <w:rFonts w:ascii="微软雅黑" w:eastAsia="微软雅黑" w:cs="微软雅黑"/>
                <w:color w:val="auto"/>
                <w:kern w:val="0"/>
                <w:lang w:val="zh-CN"/>
              </w:rPr>
              <w:t>1</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职工及城乡居民养老保险参保人数</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万</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rPr>
            </w:pPr>
            <w:r>
              <w:rPr>
                <w:rFonts w:hint="eastAsia" w:ascii="微软雅黑" w:eastAsia="微软雅黑" w:cs="微软雅黑"/>
                <w:color w:val="auto"/>
                <w:kern w:val="0"/>
              </w:rPr>
              <w:t>39.3</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rPr>
            </w:pPr>
            <w:r>
              <w:rPr>
                <w:rFonts w:hint="eastAsia" w:ascii="微软雅黑" w:eastAsia="微软雅黑" w:cs="微软雅黑"/>
                <w:color w:val="auto"/>
                <w:kern w:val="0"/>
              </w:rPr>
              <w:t>45.7</w:t>
            </w:r>
          </w:p>
        </w:tc>
      </w:tr>
      <w:tr>
        <w:tblPrEx>
          <w:tblCellMar>
            <w:top w:w="0" w:type="dxa"/>
            <w:left w:w="0" w:type="dxa"/>
            <w:bottom w:w="0" w:type="dxa"/>
            <w:right w:w="0" w:type="dxa"/>
          </w:tblCellMar>
        </w:tblPrEx>
        <w:trPr>
          <w:trHeight w:val="899"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color w:val="auto"/>
                <w:kern w:val="0"/>
                <w:lang w:val="zh-CN"/>
              </w:rPr>
            </w:pPr>
            <w:r>
              <w:rPr>
                <w:rFonts w:ascii="微软雅黑" w:eastAsia="微软雅黑" w:cs="微软雅黑"/>
                <w:color w:val="auto"/>
                <w:kern w:val="0"/>
                <w:lang w:val="zh-CN"/>
              </w:rPr>
              <w:t>2</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城镇职工及城乡居民医疗保险参保人数</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万</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rPr>
            </w:pPr>
            <w:r>
              <w:rPr>
                <w:rFonts w:hint="eastAsia" w:ascii="微软雅黑" w:eastAsia="微软雅黑" w:cs="微软雅黑"/>
                <w:color w:val="auto"/>
                <w:kern w:val="0"/>
              </w:rPr>
              <w:t>39.5</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rPr>
            </w:pPr>
            <w:r>
              <w:rPr>
                <w:rFonts w:hint="eastAsia" w:ascii="微软雅黑" w:eastAsia="微软雅黑" w:cs="微软雅黑"/>
                <w:color w:val="auto"/>
                <w:kern w:val="0"/>
              </w:rPr>
              <w:t>40.1</w:t>
            </w:r>
          </w:p>
        </w:tc>
      </w:tr>
      <w:tr>
        <w:tblPrEx>
          <w:tblCellMar>
            <w:top w:w="0" w:type="dxa"/>
            <w:left w:w="0" w:type="dxa"/>
            <w:bottom w:w="0" w:type="dxa"/>
            <w:right w:w="0" w:type="dxa"/>
          </w:tblCellMar>
        </w:tblPrEx>
        <w:trPr>
          <w:trHeight w:val="694" w:hRule="atLeast"/>
          <w:jc w:val="center"/>
        </w:trPr>
        <w:tc>
          <w:tcPr>
            <w:tcW w:w="844" w:type="dxa"/>
            <w:tcBorders>
              <w:top w:val="single" w:color="000000" w:sz="4" w:space="0"/>
              <w:left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color w:val="auto"/>
                <w:kern w:val="0"/>
                <w:lang w:val="zh-CN"/>
              </w:rPr>
            </w:pPr>
            <w:r>
              <w:rPr>
                <w:rFonts w:hint="eastAsia" w:ascii="微软雅黑" w:eastAsia="微软雅黑" w:cs="微软雅黑"/>
                <w:color w:val="auto"/>
                <w:kern w:val="0"/>
                <w:lang w:val="zh-CN"/>
              </w:rPr>
              <w:t>3</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社会养老床位数占老年人口比率</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ascii="微软雅黑" w:eastAsia="微软雅黑" w:cs="微软雅黑"/>
                <w:color w:val="auto"/>
                <w:kern w:val="0"/>
              </w:rPr>
              <w:t>‰ </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43</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ascii="微软雅黑" w:eastAsia="微软雅黑" w:cs="微软雅黑"/>
                <w:color w:val="auto"/>
                <w:kern w:val="0"/>
                <w:lang w:val="zh-CN"/>
              </w:rPr>
              <w:t>60</w:t>
            </w:r>
            <w:r>
              <w:rPr>
                <w:rFonts w:hint="eastAsia" w:ascii="微软雅黑" w:eastAsia="微软雅黑" w:cs="微软雅黑"/>
                <w:color w:val="auto"/>
                <w:kern w:val="0"/>
                <w:lang w:val="zh-CN"/>
              </w:rPr>
              <w:t>**</w:t>
            </w:r>
          </w:p>
        </w:tc>
      </w:tr>
      <w:tr>
        <w:tblPrEx>
          <w:tblCellMar>
            <w:top w:w="0" w:type="dxa"/>
            <w:left w:w="0" w:type="dxa"/>
            <w:bottom w:w="0" w:type="dxa"/>
            <w:right w:w="0" w:type="dxa"/>
          </w:tblCellMar>
        </w:tblPrEx>
        <w:trPr>
          <w:trHeight w:val="714"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hint="eastAsia" w:ascii="宋体" w:cs="宋体" w:eastAsiaTheme="minorEastAsia"/>
                <w:color w:val="auto"/>
                <w:kern w:val="0"/>
                <w:lang w:val="zh-CN" w:eastAsia="zh-CN"/>
              </w:rPr>
            </w:pPr>
            <w:r>
              <w:rPr>
                <w:rFonts w:hint="eastAsia" w:ascii="微软雅黑" w:eastAsia="微软雅黑" w:cs="微软雅黑"/>
                <w:color w:val="auto"/>
                <w:kern w:val="0"/>
                <w:lang w:val="en-US" w:eastAsia="zh-CN"/>
              </w:rPr>
              <w:t>4</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居家养老服务网络覆盖率（村级）</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ascii="微软雅黑" w:eastAsia="微软雅黑" w:cs="微软雅黑"/>
                <w:color w:val="auto"/>
                <w:kern w:val="0"/>
                <w:lang w:val="zh-CN"/>
              </w:rPr>
              <w:t>%</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42</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60</w:t>
            </w:r>
          </w:p>
        </w:tc>
      </w:tr>
      <w:tr>
        <w:trPr>
          <w:trHeight w:val="691"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hint="eastAsia" w:ascii="宋体" w:cs="宋体" w:eastAsiaTheme="minorEastAsia"/>
                <w:color w:val="auto"/>
                <w:kern w:val="0"/>
                <w:lang w:val="zh-CN" w:eastAsia="zh-CN"/>
              </w:rPr>
            </w:pPr>
            <w:r>
              <w:rPr>
                <w:rFonts w:hint="eastAsia" w:ascii="微软雅黑" w:eastAsia="微软雅黑" w:cs="微软雅黑"/>
                <w:color w:val="auto"/>
                <w:kern w:val="0"/>
                <w:lang w:val="en-US" w:eastAsia="zh-CN"/>
              </w:rPr>
              <w:t>5</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老年体育人口比率</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ascii="微软雅黑" w:eastAsia="微软雅黑" w:cs="微软雅黑"/>
                <w:color w:val="auto"/>
                <w:kern w:val="0"/>
                <w:lang w:val="zh-CN"/>
              </w:rPr>
              <w:t>%</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ascii="微软雅黑" w:eastAsia="微软雅黑" w:cs="微软雅黑"/>
                <w:color w:val="auto"/>
                <w:kern w:val="0"/>
                <w:lang w:val="zh-CN"/>
              </w:rPr>
              <w:t>66</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70</w:t>
            </w:r>
          </w:p>
        </w:tc>
      </w:tr>
      <w:tr>
        <w:trPr>
          <w:trHeight w:val="699"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hint="eastAsia" w:ascii="宋体" w:cs="宋体" w:eastAsiaTheme="minorEastAsia"/>
                <w:color w:val="auto"/>
                <w:kern w:val="0"/>
                <w:lang w:val="zh-CN" w:eastAsia="zh-CN"/>
              </w:rPr>
            </w:pPr>
            <w:r>
              <w:rPr>
                <w:rFonts w:hint="eastAsia" w:ascii="微软雅黑" w:eastAsia="微软雅黑" w:cs="微软雅黑"/>
                <w:color w:val="auto"/>
                <w:kern w:val="0"/>
                <w:lang w:val="en-US" w:eastAsia="zh-CN"/>
              </w:rPr>
              <w:t>6</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color w:val="auto"/>
                <w:kern w:val="0"/>
                <w:lang w:val="zh-CN"/>
              </w:rPr>
            </w:pPr>
            <w:r>
              <w:rPr>
                <w:rFonts w:hint="eastAsia" w:ascii="微软雅黑" w:eastAsia="微软雅黑" w:cs="微软雅黑"/>
                <w:color w:val="auto"/>
                <w:kern w:val="0"/>
                <w:lang w:val="zh-CN"/>
              </w:rPr>
              <w:t>老年人参加教育比率</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color w:val="auto"/>
                <w:kern w:val="0"/>
                <w:lang w:val="zh-CN"/>
              </w:rPr>
            </w:pPr>
            <w:r>
              <w:rPr>
                <w:rFonts w:ascii="微软雅黑" w:eastAsia="微软雅黑" w:cs="微软雅黑"/>
                <w:color w:val="auto"/>
                <w:kern w:val="0"/>
                <w:lang w:val="zh-CN"/>
              </w:rPr>
              <w:t>%</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12.4</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20</w:t>
            </w:r>
          </w:p>
        </w:tc>
      </w:tr>
      <w:tr>
        <w:trPr>
          <w:trHeight w:val="693"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hint="eastAsia" w:ascii="宋体" w:cs="宋体" w:eastAsiaTheme="minorEastAsia"/>
                <w:color w:val="auto"/>
                <w:kern w:val="0"/>
                <w:lang w:val="zh-CN" w:eastAsia="zh-CN"/>
              </w:rPr>
            </w:pPr>
            <w:r>
              <w:rPr>
                <w:rFonts w:hint="eastAsia" w:ascii="微软雅黑" w:eastAsia="微软雅黑" w:cs="微软雅黑"/>
                <w:color w:val="auto"/>
                <w:kern w:val="0"/>
                <w:lang w:val="en-US" w:eastAsia="zh-CN"/>
              </w:rPr>
              <w:t>7</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color w:val="auto"/>
                <w:kern w:val="0"/>
                <w:lang w:val="zh-CN"/>
              </w:rPr>
            </w:pPr>
            <w:r>
              <w:rPr>
                <w:rFonts w:hint="eastAsia" w:ascii="微软雅黑" w:eastAsia="微软雅黑" w:cs="微软雅黑"/>
                <w:color w:val="auto"/>
                <w:kern w:val="0"/>
                <w:lang w:val="zh-CN"/>
              </w:rPr>
              <w:t>老年法宣传普及率</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color w:val="auto"/>
                <w:kern w:val="0"/>
                <w:lang w:val="zh-CN"/>
              </w:rPr>
            </w:pPr>
            <w:r>
              <w:rPr>
                <w:rFonts w:ascii="微软雅黑" w:eastAsia="微软雅黑" w:cs="微软雅黑"/>
                <w:color w:val="auto"/>
                <w:kern w:val="0"/>
                <w:lang w:val="zh-CN"/>
              </w:rPr>
              <w:t>%</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城市</w:t>
            </w:r>
            <w:r>
              <w:rPr>
                <w:rFonts w:ascii="微软雅黑" w:eastAsia="微软雅黑" w:cs="微软雅黑"/>
                <w:color w:val="auto"/>
                <w:kern w:val="0"/>
                <w:lang w:val="zh-CN"/>
              </w:rPr>
              <w:t>95</w:t>
            </w:r>
            <w:r>
              <w:rPr>
                <w:rFonts w:hint="eastAsia" w:ascii="微软雅黑" w:eastAsia="微软雅黑" w:cs="微软雅黑"/>
                <w:color w:val="auto"/>
                <w:kern w:val="0"/>
                <w:lang w:val="zh-CN"/>
              </w:rPr>
              <w:t xml:space="preserve"> </w:t>
            </w:r>
          </w:p>
          <w:p>
            <w:pPr>
              <w:autoSpaceDE w:val="0"/>
              <w:autoSpaceDN w:val="0"/>
              <w:adjustRightInd w:val="0"/>
              <w:spacing w:line="480" w:lineRule="exact"/>
              <w:rPr>
                <w:rFonts w:ascii="微软雅黑" w:eastAsia="微软雅黑" w:cs="微软雅黑"/>
                <w:color w:val="auto"/>
                <w:kern w:val="0"/>
                <w:lang w:val="zh-CN"/>
              </w:rPr>
            </w:pPr>
            <w:r>
              <w:rPr>
                <w:rFonts w:hint="eastAsia" w:ascii="微软雅黑" w:eastAsia="微软雅黑" w:cs="微软雅黑"/>
                <w:color w:val="auto"/>
                <w:kern w:val="0"/>
                <w:lang w:val="zh-CN"/>
              </w:rPr>
              <w:t xml:space="preserve">   农村85</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城市</w:t>
            </w:r>
            <w:r>
              <w:rPr>
                <w:rFonts w:ascii="微软雅黑" w:eastAsia="微软雅黑" w:cs="微软雅黑"/>
                <w:color w:val="auto"/>
                <w:kern w:val="0"/>
                <w:lang w:val="zh-CN"/>
              </w:rPr>
              <w:t>97</w:t>
            </w:r>
            <w:r>
              <w:rPr>
                <w:rFonts w:hint="eastAsia" w:ascii="微软雅黑" w:eastAsia="微软雅黑" w:cs="微软雅黑"/>
                <w:color w:val="auto"/>
                <w:kern w:val="0"/>
                <w:lang w:val="zh-CN"/>
              </w:rPr>
              <w:t xml:space="preserve"> </w:t>
            </w:r>
          </w:p>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农村90</w:t>
            </w:r>
          </w:p>
        </w:tc>
      </w:tr>
      <w:tr>
        <w:trPr>
          <w:trHeight w:val="693"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hint="eastAsia" w:ascii="微软雅黑" w:eastAsia="微软雅黑" w:cs="微软雅黑"/>
                <w:color w:val="auto"/>
                <w:kern w:val="0"/>
                <w:lang w:val="zh-CN" w:eastAsia="zh-CN"/>
              </w:rPr>
            </w:pPr>
            <w:r>
              <w:rPr>
                <w:rFonts w:hint="eastAsia" w:ascii="微软雅黑" w:eastAsia="微软雅黑" w:cs="微软雅黑"/>
                <w:color w:val="auto"/>
                <w:kern w:val="0"/>
                <w:lang w:val="en-US" w:eastAsia="zh-CN"/>
              </w:rPr>
              <w:t>8</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老年人健康管理率</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56.99%</w:t>
            </w:r>
          </w:p>
          <w:p>
            <w:pPr>
              <w:autoSpaceDE w:val="0"/>
              <w:autoSpaceDN w:val="0"/>
              <w:adjustRightInd w:val="0"/>
              <w:spacing w:line="480" w:lineRule="exact"/>
              <w:jc w:val="center"/>
              <w:rPr>
                <w:rFonts w:ascii="微软雅黑" w:eastAsia="微软雅黑" w:cs="微软雅黑"/>
                <w:color w:val="auto"/>
                <w:kern w:val="0"/>
                <w:sz w:val="18"/>
                <w:szCs w:val="18"/>
                <w:lang w:val="zh-CN"/>
              </w:rPr>
            </w:pPr>
            <w:r>
              <w:rPr>
                <w:rFonts w:hint="eastAsia" w:ascii="微软雅黑" w:eastAsia="微软雅黑" w:cs="微软雅黑"/>
                <w:color w:val="auto"/>
                <w:kern w:val="0"/>
                <w:sz w:val="18"/>
                <w:szCs w:val="18"/>
                <w:lang w:val="zh-CN"/>
              </w:rPr>
              <w:t>（60周岁以上）</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lang w:val="zh-CN"/>
              </w:rPr>
              <w:t>100%</w:t>
            </w:r>
          </w:p>
          <w:p>
            <w:pPr>
              <w:autoSpaceDE w:val="0"/>
              <w:autoSpaceDN w:val="0"/>
              <w:adjustRightInd w:val="0"/>
              <w:spacing w:line="480" w:lineRule="exact"/>
              <w:jc w:val="center"/>
              <w:rPr>
                <w:rFonts w:ascii="微软雅黑" w:eastAsia="微软雅黑" w:cs="微软雅黑"/>
                <w:color w:val="auto"/>
                <w:kern w:val="0"/>
                <w:sz w:val="18"/>
                <w:szCs w:val="18"/>
                <w:lang w:val="zh-CN"/>
              </w:rPr>
            </w:pPr>
            <w:r>
              <w:rPr>
                <w:rFonts w:hint="eastAsia" w:ascii="微软雅黑" w:eastAsia="微软雅黑" w:cs="微软雅黑"/>
                <w:color w:val="auto"/>
                <w:kern w:val="0"/>
                <w:sz w:val="18"/>
                <w:szCs w:val="18"/>
                <w:lang w:val="zh-CN"/>
              </w:rPr>
              <w:t>（65周岁以上）</w:t>
            </w:r>
          </w:p>
        </w:tc>
      </w:tr>
      <w:tr>
        <w:trPr>
          <w:trHeight w:val="687"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hint="eastAsia" w:ascii="宋体" w:cs="宋体" w:eastAsiaTheme="minorEastAsia"/>
                <w:color w:val="auto"/>
                <w:kern w:val="0"/>
                <w:lang w:val="zh-CN" w:eastAsia="zh-CN"/>
              </w:rPr>
            </w:pPr>
            <w:r>
              <w:rPr>
                <w:rFonts w:hint="eastAsia" w:ascii="微软雅黑" w:eastAsia="微软雅黑" w:cs="微软雅黑"/>
                <w:color w:val="auto"/>
                <w:kern w:val="0"/>
                <w:lang w:val="en-US" w:eastAsia="zh-CN"/>
              </w:rPr>
              <w:t>9</w:t>
            </w:r>
          </w:p>
        </w:tc>
        <w:tc>
          <w:tcPr>
            <w:tcW w:w="36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color w:val="auto"/>
                <w:kern w:val="0"/>
                <w:lang w:val="zh-CN"/>
              </w:rPr>
            </w:pPr>
            <w:r>
              <w:rPr>
                <w:rFonts w:hint="eastAsia" w:ascii="微软雅黑" w:eastAsia="微软雅黑" w:cs="微软雅黑"/>
                <w:color w:val="auto"/>
                <w:kern w:val="0"/>
                <w:lang w:val="zh-CN"/>
              </w:rPr>
              <w:t>人均期望寿命</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宋体" w:cs="宋体"/>
                <w:color w:val="auto"/>
                <w:kern w:val="0"/>
                <w:lang w:val="zh-CN"/>
              </w:rPr>
            </w:pPr>
            <w:r>
              <w:rPr>
                <w:rFonts w:hint="eastAsia" w:ascii="微软雅黑" w:eastAsia="微软雅黑" w:cs="微软雅黑"/>
                <w:color w:val="auto"/>
                <w:kern w:val="0"/>
                <w:lang w:val="zh-CN"/>
              </w:rPr>
              <w:t>岁</w:t>
            </w:r>
          </w:p>
        </w:tc>
        <w:tc>
          <w:tcPr>
            <w:tcW w:w="145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ascii="微软雅黑" w:eastAsia="微软雅黑" w:cs="微软雅黑"/>
                <w:color w:val="auto"/>
                <w:kern w:val="0"/>
                <w:lang w:val="zh-CN"/>
              </w:rPr>
              <w:t>80.</w:t>
            </w:r>
            <w:r>
              <w:rPr>
                <w:rFonts w:hint="eastAsia" w:ascii="微软雅黑" w:eastAsia="微软雅黑" w:cs="微软雅黑"/>
                <w:color w:val="auto"/>
                <w:kern w:val="0"/>
                <w:lang w:val="zh-CN"/>
              </w:rPr>
              <w:t>56</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pacing w:line="480" w:lineRule="exact"/>
              <w:jc w:val="center"/>
              <w:rPr>
                <w:rFonts w:ascii="微软雅黑" w:eastAsia="微软雅黑" w:cs="微软雅黑"/>
                <w:color w:val="auto"/>
                <w:kern w:val="0"/>
                <w:lang w:val="zh-CN"/>
              </w:rPr>
            </w:pPr>
            <w:r>
              <w:rPr>
                <w:rFonts w:hint="eastAsia" w:ascii="微软雅黑" w:eastAsia="微软雅黑" w:cs="微软雅黑"/>
                <w:color w:val="auto"/>
                <w:kern w:val="0"/>
              </w:rPr>
              <w:t>82</w:t>
            </w:r>
            <w:r>
              <w:rPr>
                <w:rFonts w:hint="eastAsia" w:ascii="微软雅黑" w:eastAsia="微软雅黑" w:cs="微软雅黑"/>
                <w:color w:val="auto"/>
                <w:kern w:val="0"/>
                <w:lang w:val="zh-CN"/>
              </w:rPr>
              <w:t>***</w:t>
            </w:r>
          </w:p>
        </w:tc>
      </w:tr>
    </w:tbl>
    <w:p>
      <w:pPr>
        <w:autoSpaceDE w:val="0"/>
        <w:autoSpaceDN w:val="0"/>
        <w:adjustRightInd w:val="0"/>
        <w:spacing w:line="480" w:lineRule="exact"/>
        <w:ind w:firstLine="420" w:firstLineChars="200"/>
        <w:rPr>
          <w:rFonts w:ascii="楷体" w:hAnsi="楷体" w:eastAsia="楷体" w:cs="宋体"/>
          <w:color w:val="auto"/>
          <w:kern w:val="0"/>
          <w:lang w:val="zh-CN"/>
        </w:rPr>
      </w:pPr>
      <w:r>
        <w:rPr>
          <w:rFonts w:hint="eastAsia" w:ascii="楷体" w:hAnsi="楷体" w:eastAsia="楷体" w:cs="宋体"/>
          <w:color w:val="auto"/>
          <w:kern w:val="0"/>
          <w:lang w:val="zh-CN"/>
        </w:rPr>
        <w:t>注：*来源《温州市人力资源与社会保障事业发展“十三五”规划》</w:t>
      </w:r>
    </w:p>
    <w:p>
      <w:pPr>
        <w:autoSpaceDE w:val="0"/>
        <w:autoSpaceDN w:val="0"/>
        <w:adjustRightInd w:val="0"/>
        <w:spacing w:line="480" w:lineRule="exact"/>
        <w:ind w:left="1260" w:leftChars="400" w:hanging="420" w:hangingChars="200"/>
        <w:rPr>
          <w:rFonts w:ascii="楷体" w:hAnsi="楷体" w:eastAsia="楷体" w:cs="宋体"/>
          <w:color w:val="auto"/>
          <w:kern w:val="0"/>
          <w:lang w:val="zh-CN"/>
        </w:rPr>
      </w:pPr>
      <w:r>
        <w:rPr>
          <w:rFonts w:hint="eastAsia" w:ascii="楷体" w:hAnsi="楷体" w:eastAsia="楷体" w:cs="宋体"/>
          <w:color w:val="auto"/>
          <w:kern w:val="0"/>
          <w:lang w:val="zh-CN"/>
        </w:rPr>
        <w:t>**来源《关于做好养老服务业综合改革试点加快推进我市养老服务业发展的实施意见》（温政发〔2014〕68号）</w:t>
      </w:r>
    </w:p>
    <w:p>
      <w:pPr>
        <w:autoSpaceDE w:val="0"/>
        <w:autoSpaceDN w:val="0"/>
        <w:adjustRightInd w:val="0"/>
        <w:spacing w:line="480" w:lineRule="exact"/>
        <w:ind w:firstLine="840" w:firstLineChars="400"/>
        <w:rPr>
          <w:rFonts w:ascii="楷体" w:hAnsi="楷体" w:eastAsia="楷体" w:cs="宋体"/>
          <w:color w:val="auto"/>
          <w:kern w:val="0"/>
          <w:lang w:val="zh-CN"/>
        </w:rPr>
      </w:pPr>
      <w:r>
        <w:rPr>
          <w:rFonts w:hint="eastAsia" w:ascii="楷体" w:hAnsi="楷体" w:eastAsia="楷体" w:cs="宋体"/>
          <w:color w:val="auto"/>
          <w:kern w:val="0"/>
          <w:lang w:val="zh-CN"/>
        </w:rPr>
        <w:t>***来源《鹿城区国民经济和社会发展第十三个五年规划》</w:t>
      </w:r>
    </w:p>
    <w:p>
      <w:pPr>
        <w:autoSpaceDE w:val="0"/>
        <w:autoSpaceDN w:val="0"/>
        <w:adjustRightInd w:val="0"/>
        <w:spacing w:line="480" w:lineRule="exact"/>
        <w:ind w:firstLine="640" w:firstLineChars="200"/>
        <w:rPr>
          <w:rFonts w:ascii="楷体" w:hAnsi="楷体" w:eastAsia="楷体" w:cs="宋体"/>
          <w:color w:val="auto"/>
          <w:kern w:val="0"/>
          <w:sz w:val="32"/>
          <w:szCs w:val="32"/>
          <w:lang w:val="zh-CN"/>
        </w:rPr>
        <w:sectPr>
          <w:pgSz w:w="11906" w:h="16838"/>
          <w:pgMar w:top="1474" w:right="1803" w:bottom="1587" w:left="1803" w:header="851" w:footer="992" w:gutter="0"/>
          <w:cols w:space="0" w:num="1"/>
          <w:docGrid w:type="lines" w:linePitch="312" w:charSpace="0"/>
        </w:sectPr>
      </w:pPr>
    </w:p>
    <w:p>
      <w:pPr>
        <w:pStyle w:val="2"/>
        <w:rPr>
          <w:color w:val="auto"/>
        </w:rPr>
      </w:pPr>
      <w:bookmarkStart w:id="109" w:name="_Toc4869"/>
      <w:bookmarkStart w:id="110" w:name="_Toc468224837"/>
      <w:r>
        <w:rPr>
          <w:rFonts w:hint="eastAsia"/>
          <w:color w:val="auto"/>
        </w:rPr>
        <w:t>第三章 主要任务</w:t>
      </w:r>
      <w:bookmarkEnd w:id="109"/>
      <w:bookmarkEnd w:id="110"/>
    </w:p>
    <w:p>
      <w:pPr>
        <w:pStyle w:val="3"/>
        <w:rPr>
          <w:color w:val="auto"/>
          <w:lang w:val="zh-CN"/>
        </w:rPr>
      </w:pPr>
      <w:bookmarkStart w:id="111" w:name="_Toc15053"/>
      <w:bookmarkStart w:id="112" w:name="_Toc468224838"/>
      <w:bookmarkStart w:id="113" w:name="_Toc445976903"/>
      <w:bookmarkStart w:id="114" w:name="_Toc15390"/>
      <w:r>
        <w:rPr>
          <w:rFonts w:hint="eastAsia"/>
          <w:color w:val="auto"/>
          <w:lang w:val="zh-CN"/>
        </w:rPr>
        <w:t>一、完善养老社会保障体系，增强老年人经济</w:t>
      </w:r>
      <w:bookmarkEnd w:id="111"/>
      <w:r>
        <w:rPr>
          <w:rFonts w:hint="eastAsia"/>
          <w:color w:val="auto"/>
          <w:lang w:val="zh-CN"/>
        </w:rPr>
        <w:t>保障能力</w:t>
      </w:r>
      <w:bookmarkEnd w:id="112"/>
    </w:p>
    <w:p>
      <w:pPr>
        <w:spacing w:line="520" w:lineRule="atLeast"/>
        <w:ind w:right="-376" w:rightChars="-179"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lang w:val="zh-CN"/>
        </w:rPr>
        <w:t>1.完善基本养老保险制度。</w:t>
      </w:r>
      <w:r>
        <w:rPr>
          <w:rFonts w:hint="eastAsia" w:ascii="仿宋_GB2312" w:hAnsi="宋体" w:eastAsia="仿宋_GB2312" w:cs="宋体"/>
          <w:color w:val="auto"/>
          <w:kern w:val="0"/>
          <w:sz w:val="32"/>
          <w:szCs w:val="28"/>
        </w:rPr>
        <w:t>按照全市统一部署，做好城镇职工基本养老保险基础养老金全国统筹以及渐进式延迟退休方案的贯彻落实工作。</w:t>
      </w:r>
      <w:r>
        <w:rPr>
          <w:rFonts w:hint="eastAsia" w:ascii="仿宋_GB2312" w:hAnsi="宋体" w:eastAsia="仿宋_GB2312" w:cs="宋体"/>
          <w:color w:val="auto"/>
          <w:kern w:val="0"/>
          <w:sz w:val="32"/>
          <w:szCs w:val="28"/>
          <w:lang w:val="zh-CN"/>
        </w:rPr>
        <w:t>深化完善全民参保登记工作，建立动态管理机制，</w:t>
      </w:r>
      <w:r>
        <w:rPr>
          <w:rFonts w:hint="eastAsia" w:ascii="仿宋_GB2312" w:hAnsi="宋体" w:eastAsia="仿宋_GB2312" w:cs="宋体"/>
          <w:color w:val="auto"/>
          <w:kern w:val="0"/>
          <w:sz w:val="32"/>
          <w:szCs w:val="28"/>
        </w:rPr>
        <w:t>通过全民参保登记摸清底数，积极扩大养老保险覆盖面，力争到“十三五”期末，基本养老保险参保人数达到45.7万，覆盖率达到90%以上。</w:t>
      </w:r>
      <w:r>
        <w:rPr>
          <w:rFonts w:hint="eastAsia" w:ascii="仿宋_GB2312" w:hAnsi="宋体" w:eastAsia="仿宋_GB2312" w:cs="宋体"/>
          <w:color w:val="auto"/>
          <w:kern w:val="0"/>
          <w:sz w:val="32"/>
          <w:szCs w:val="28"/>
          <w:lang w:val="zh-CN"/>
        </w:rPr>
        <w:t>鼓励已参加基本生活保障的被征地农民转入参加城镇职工基本养老保险制度。</w:t>
      </w:r>
      <w:r>
        <w:rPr>
          <w:rFonts w:hint="eastAsia" w:ascii="仿宋_GB2312" w:hAnsi="宋体" w:eastAsia="仿宋_GB2312" w:cs="宋体"/>
          <w:color w:val="auto"/>
          <w:kern w:val="0"/>
          <w:sz w:val="32"/>
          <w:szCs w:val="28"/>
        </w:rPr>
        <w:t>发展职业年金、企业年金，完善多层次社会保障体系。</w:t>
      </w:r>
    </w:p>
    <w:p>
      <w:pPr>
        <w:spacing w:line="520" w:lineRule="atLeast"/>
        <w:ind w:right="-376" w:rightChars="-179" w:firstLine="643" w:firstLineChars="200"/>
        <w:rPr>
          <w:rFonts w:ascii="仿宋_GB2312" w:hAnsi="宋体" w:eastAsia="仿宋_GB2312" w:cs="宋体"/>
          <w:color w:val="auto"/>
          <w:kern w:val="0"/>
          <w:sz w:val="32"/>
          <w:szCs w:val="28"/>
          <w:lang w:val="zh-CN"/>
        </w:rPr>
      </w:pPr>
      <w:r>
        <w:rPr>
          <w:rFonts w:hint="eastAsia" w:ascii="仿宋_GB2312" w:hAnsi="宋体" w:eastAsia="仿宋_GB2312" w:cs="宋体"/>
          <w:b/>
          <w:bCs/>
          <w:color w:val="auto"/>
          <w:kern w:val="0"/>
          <w:sz w:val="32"/>
          <w:szCs w:val="28"/>
          <w:lang w:val="zh-CN"/>
        </w:rPr>
        <w:t>2.完善老年福利制度。</w:t>
      </w:r>
      <w:r>
        <w:rPr>
          <w:rFonts w:hint="eastAsia" w:ascii="仿宋_GB2312" w:hAnsi="宋体" w:eastAsia="仿宋_GB2312" w:cs="宋体"/>
          <w:color w:val="auto"/>
          <w:kern w:val="0"/>
          <w:sz w:val="32"/>
          <w:szCs w:val="28"/>
          <w:lang w:val="zh-CN"/>
        </w:rPr>
        <w:t>完善老年人高龄补贴制度，根据经济社会发展水平提升，稳步提高补贴标准扩大覆盖面。</w:t>
      </w:r>
      <w:r>
        <w:rPr>
          <w:rFonts w:hint="eastAsia" w:ascii="仿宋_GB2312" w:hAnsi="宋体" w:eastAsia="仿宋_GB2312" w:cs="宋体"/>
          <w:color w:val="auto"/>
          <w:kern w:val="0"/>
          <w:sz w:val="32"/>
          <w:szCs w:val="28"/>
        </w:rPr>
        <w:t>逐渐建立护理补贴制度。</w:t>
      </w:r>
      <w:r>
        <w:rPr>
          <w:rFonts w:hint="eastAsia" w:ascii="仿宋_GB2312" w:hAnsi="宋体" w:eastAsia="仿宋_GB2312" w:cs="宋体"/>
          <w:color w:val="auto"/>
          <w:kern w:val="0"/>
          <w:sz w:val="32"/>
          <w:szCs w:val="28"/>
          <w:lang w:val="zh-CN"/>
        </w:rPr>
        <w:t>完善政府购买养老服务补贴制度，扩大政府购买服务范围，建立自然增长机制，根据经济社会发展水平稳步扩大政府购买服务范围和提高服务质量。</w:t>
      </w:r>
      <w:r>
        <w:rPr>
          <w:rFonts w:hint="eastAsia" w:ascii="仿宋_GB2312" w:hAnsi="宋体" w:eastAsia="仿宋_GB2312" w:cs="宋体"/>
          <w:color w:val="auto"/>
          <w:kern w:val="0"/>
          <w:sz w:val="32"/>
          <w:szCs w:val="28"/>
        </w:rPr>
        <w:t>支持和发展老龄事业的各项基金和慈善组织，接受社会各界企事业单位或其他组织的</w:t>
      </w:r>
      <w:r>
        <w:rPr>
          <w:rFonts w:hint="eastAsia" w:ascii="仿宋_GB2312" w:hAnsi="宋体" w:eastAsia="仿宋_GB2312" w:cs="宋体"/>
          <w:color w:val="auto"/>
          <w:kern w:val="0"/>
          <w:sz w:val="32"/>
          <w:szCs w:val="28"/>
          <w:lang w:val="zh-CN"/>
        </w:rPr>
        <w:t>捐赠，根据社会发展和老年群体的需求，创办和资助老年社会福利等项目，通过滚动发展，加快老龄事业建设步伐。</w:t>
      </w:r>
    </w:p>
    <w:p>
      <w:pPr>
        <w:spacing w:line="520" w:lineRule="atLeast"/>
        <w:ind w:right="-376" w:rightChars="-179"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lang w:val="zh-CN"/>
        </w:rPr>
        <w:t>3.加大贫困老人社会救助力度。</w:t>
      </w:r>
      <w:r>
        <w:rPr>
          <w:rFonts w:hint="eastAsia" w:ascii="仿宋_GB2312" w:hAnsi="宋体" w:eastAsia="仿宋_GB2312" w:cs="宋体"/>
          <w:color w:val="auto"/>
          <w:kern w:val="0"/>
          <w:sz w:val="32"/>
          <w:szCs w:val="28"/>
          <w:lang w:val="zh-CN"/>
        </w:rPr>
        <w:t>健</w:t>
      </w:r>
      <w:r>
        <w:rPr>
          <w:rFonts w:hint="eastAsia" w:ascii="仿宋_GB2312" w:hAnsi="宋体" w:eastAsia="仿宋_GB2312" w:cs="宋体"/>
          <w:color w:val="auto"/>
          <w:kern w:val="0"/>
          <w:sz w:val="32"/>
          <w:szCs w:val="28"/>
        </w:rPr>
        <w:t xml:space="preserve">全贫困老人生活会救助制度，提高救助标准、整合救助资源和发挥慈善事业，在政策目标、资金筹集、对象范围、供养标准、经办服务等方面实现城乡统筹，确保城乡特困人员都能获得救助供养服务。确保实行农村最低生活或保障制度兜底脱贫。鼓励、引导、支持社会力量通过承接政府购买服务、慈善捐赠以及提供志愿服务等方式，为特困老人提供服务和帮扶，形成全社会关心、支持、参与特困老人救助供养工作的良好氛围。 </w:t>
      </w:r>
      <w:r>
        <w:rPr>
          <w:rFonts w:hint="eastAsia" w:ascii="仿宋_GB2312" w:hAnsi="宋体" w:eastAsia="仿宋_GB2312" w:cs="宋体"/>
          <w:color w:val="auto"/>
          <w:kern w:val="0"/>
          <w:sz w:val="32"/>
          <w:szCs w:val="28"/>
        </w:rPr>
        <w:br w:type="textWrapping"/>
      </w:r>
      <w:r>
        <w:rPr>
          <w:rFonts w:hint="eastAsia" w:ascii="仿宋_GB2312" w:hAnsi="宋体" w:eastAsia="仿宋_GB2312" w:cs="宋体"/>
          <w:color w:val="auto"/>
          <w:kern w:val="0"/>
          <w:sz w:val="32"/>
          <w:szCs w:val="28"/>
        </w:rPr>
        <w:t xml:space="preserve">   </w:t>
      </w:r>
      <w:r>
        <w:rPr>
          <w:rFonts w:hint="eastAsia" w:ascii="仿宋_GB2312" w:hAnsi="宋体" w:eastAsia="仿宋_GB2312" w:cs="宋体"/>
          <w:b/>
          <w:bCs/>
          <w:color w:val="auto"/>
          <w:kern w:val="0"/>
          <w:sz w:val="32"/>
          <w:szCs w:val="28"/>
        </w:rPr>
        <w:t xml:space="preserve"> 4.强化家庭养老支撑功能。</w:t>
      </w:r>
      <w:r>
        <w:rPr>
          <w:rFonts w:hint="eastAsia" w:ascii="仿宋_GB2312" w:hAnsi="宋体" w:eastAsia="仿宋_GB2312" w:cs="宋体"/>
          <w:color w:val="auto"/>
          <w:kern w:val="0"/>
          <w:sz w:val="32"/>
          <w:szCs w:val="28"/>
        </w:rPr>
        <w:t>充分发挥家庭和社区功能，着力巩固家庭养老地位，鼓励引导家庭成员依法履行对老年人经济供养、生活照料和精神慰藉责任。强化尊老敬老道德建设，提倡亲情互助，营造温馨和谐的家庭氛围，发挥家庭养老的基础作用。支持建立以企业和机构为主体、社区为纽带、满足老年人各种服务需求的居家养老服务网络，大力发展家庭养老便捷服务。努力建设老年温馨家庭，提高老年人居家养老的幸福指数，弘扬孝亲敬老传统美德。</w:t>
      </w:r>
    </w:p>
    <w:p>
      <w:pPr>
        <w:pStyle w:val="3"/>
        <w:rPr>
          <w:color w:val="auto"/>
          <w:lang w:val="zh-CN"/>
        </w:rPr>
      </w:pPr>
      <w:bookmarkStart w:id="115" w:name="_Toc2670"/>
      <w:bookmarkStart w:id="116" w:name="_Toc468224839"/>
      <w:r>
        <w:rPr>
          <w:rFonts w:hint="eastAsia"/>
          <w:color w:val="auto"/>
          <w:lang w:val="zh-CN"/>
        </w:rPr>
        <w:t>二、</w:t>
      </w:r>
      <w:bookmarkEnd w:id="115"/>
      <w:r>
        <w:rPr>
          <w:rFonts w:hint="eastAsia" w:ascii="Cambria" w:hAnsi="Cambria" w:eastAsiaTheme="minorEastAsia"/>
          <w:color w:val="auto"/>
          <w:sz w:val="32"/>
          <w:lang w:val="zh-CN"/>
        </w:rPr>
        <w:t>健全社会养老服务体系，提升老年人生活质量</w:t>
      </w:r>
      <w:bookmarkEnd w:id="116"/>
    </w:p>
    <w:p>
      <w:pPr>
        <w:spacing w:line="520" w:lineRule="atLeast"/>
        <w:ind w:right="-376" w:rightChars="-179"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1.进一步完善社会养老服务体系。</w:t>
      </w:r>
      <w:r>
        <w:rPr>
          <w:rFonts w:hint="eastAsia" w:ascii="仿宋_GB2312" w:hAnsi="宋体" w:eastAsia="仿宋_GB2312" w:cs="宋体"/>
          <w:color w:val="auto"/>
          <w:kern w:val="0"/>
          <w:sz w:val="32"/>
          <w:szCs w:val="28"/>
        </w:rPr>
        <w:t>全面建立以居家为基础、社区为依托、机构为支撑，功能完善、布局合理、规模适度、覆盖城乡的社会养老服务体系，基本形成“96-4-3”（居家养老-机构养老-政府购买）的养老构架模式。鼓励社会力量举办社区居家养老服务照料中心、托老所、老年活动中心等养老服务设施，提高社区养老服务的可及性。大力发展居民和家庭业服务，积极培育家庭服务企业和机构，上门为居家老年人提供助餐、助浴、助洁、助急、助医等个性化定制服务，增强家庭养老服务功能。支持社区引入社会组织、家庭服务企业，兴办或运营居家照料服务中心。</w:t>
      </w:r>
    </w:p>
    <w:p>
      <w:pPr>
        <w:spacing w:line="520" w:lineRule="atLeast"/>
        <w:ind w:right="-376" w:rightChars="-179" w:firstLine="643" w:firstLineChars="200"/>
        <w:jc w:val="left"/>
        <w:rPr>
          <w:rFonts w:hint="eastAsia"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2.多渠道引入社会力量发展养老机构。</w:t>
      </w:r>
      <w:r>
        <w:rPr>
          <w:rFonts w:hint="eastAsia" w:ascii="仿宋_GB2312" w:hAnsi="宋体" w:eastAsia="仿宋_GB2312" w:cs="宋体"/>
          <w:color w:val="auto"/>
          <w:kern w:val="0"/>
          <w:sz w:val="32"/>
          <w:szCs w:val="28"/>
        </w:rPr>
        <w:t>按照“非禁即入”原则，引导各种所有制投资主体进入养老服务领域，推动形成一批具有知名品牌和较强竞争力的养老机构。积极吸引港澳台地区的资本及国际知名品牌养老实体以合资、合作、独资等形式举办养老机构，尤其要大力引入优质养老资源发展养老事业。引导慈善公益组织参与、兴办面向社会老人的养老机构。引入保险资金发展养老设施建设。探索公建民营、民办公助、合建合营等模式。</w:t>
      </w:r>
    </w:p>
    <w:p>
      <w:pPr>
        <w:spacing w:line="520" w:lineRule="atLeast"/>
        <w:ind w:right="-376" w:rightChars="-179" w:firstLine="643" w:firstLineChars="200"/>
        <w:rPr>
          <w:rFonts w:ascii="仿宋_GB2312" w:hAnsi="宋体" w:eastAsia="仿宋_GB2312" w:cs="宋体"/>
          <w:color w:val="auto"/>
          <w:kern w:val="0"/>
          <w:sz w:val="32"/>
          <w:szCs w:val="28"/>
        </w:rPr>
      </w:pPr>
      <w:r>
        <w:rPr>
          <w:rFonts w:hint="eastAsia" w:ascii="仿宋_GB2312" w:hAnsi="宋体" w:eastAsia="仿宋_GB2312" w:cs="宋体"/>
          <w:b/>
          <w:bCs/>
          <w:color w:val="auto"/>
          <w:kern w:val="0"/>
          <w:sz w:val="32"/>
          <w:szCs w:val="28"/>
        </w:rPr>
        <w:t>3.重点鼓励发展</w:t>
      </w:r>
      <w:bookmarkStart w:id="117" w:name="OLE_LINK2"/>
      <w:r>
        <w:rPr>
          <w:rFonts w:hint="eastAsia" w:ascii="仿宋_GB2312" w:hAnsi="宋体" w:eastAsia="仿宋_GB2312" w:cs="宋体"/>
          <w:b/>
          <w:bCs/>
          <w:color w:val="auto"/>
          <w:kern w:val="0"/>
          <w:sz w:val="32"/>
          <w:szCs w:val="28"/>
        </w:rPr>
        <w:t>护理型养老机构</w:t>
      </w:r>
      <w:bookmarkEnd w:id="117"/>
      <w:r>
        <w:rPr>
          <w:rFonts w:hint="eastAsia" w:ascii="仿宋_GB2312" w:hAnsi="宋体" w:eastAsia="仿宋_GB2312" w:cs="宋体"/>
          <w:b/>
          <w:bCs/>
          <w:color w:val="auto"/>
          <w:kern w:val="0"/>
          <w:sz w:val="32"/>
          <w:szCs w:val="28"/>
        </w:rPr>
        <w:t>。</w:t>
      </w:r>
      <w:r>
        <w:rPr>
          <w:rFonts w:hint="eastAsia" w:ascii="仿宋_GB2312" w:hAnsi="宋体" w:eastAsia="仿宋_GB2312" w:cs="宋体"/>
          <w:color w:val="auto"/>
          <w:kern w:val="0"/>
          <w:sz w:val="32"/>
          <w:szCs w:val="28"/>
        </w:rPr>
        <w:t>鼓励和支持社会力量重点发展养医结合，以收养失能、半失能、失智老年人为主，提供长期照护服务的护理型养老机构</w:t>
      </w:r>
      <w:r>
        <w:rPr>
          <w:rFonts w:hint="eastAsia" w:ascii="仿宋_GB2312" w:hAnsi="宋体" w:eastAsia="仿宋_GB2312" w:cs="宋体"/>
          <w:color w:val="auto"/>
          <w:kern w:val="0"/>
          <w:sz w:val="32"/>
          <w:szCs w:val="28"/>
          <w:u w:val="none"/>
          <w:lang w:eastAsia="zh-CN"/>
        </w:rPr>
        <w:t>。</w:t>
      </w:r>
      <w:r>
        <w:rPr>
          <w:rFonts w:hint="eastAsia" w:ascii="仿宋_GB2312" w:hAnsi="宋体" w:eastAsia="仿宋_GB2312" w:cs="宋体"/>
          <w:color w:val="auto"/>
          <w:kern w:val="0"/>
          <w:sz w:val="32"/>
          <w:szCs w:val="28"/>
        </w:rPr>
        <w:t>鼓励有条件的护理型养老机构设置卫生室、护理站，或与周边医院、社区医疗卫生服务机构合作，实现资源共享。养老机构内独立设置的医疗卫生机构，可按规定申请医保定点资格，符合条件的纳入当地医保定点范围。优化护理型养老机构布局，结合工业用地退二进三、旧工业区改造，鼓励利用闲置厂房、仓库等空间发展护理型养老机构。优先在老年人口集聚的街道增设护理型养老机构。</w:t>
      </w:r>
    </w:p>
    <w:p>
      <w:pPr>
        <w:spacing w:line="520" w:lineRule="atLeast"/>
        <w:ind w:right="-376" w:rightChars="-179" w:firstLine="643" w:firstLineChars="200"/>
        <w:rPr>
          <w:rFonts w:ascii="仿宋_GB2312" w:hAnsi="宋体" w:eastAsia="仿宋_GB2312" w:cs="宋体"/>
          <w:b/>
          <w:bCs/>
          <w:color w:val="auto"/>
          <w:kern w:val="0"/>
          <w:sz w:val="32"/>
          <w:szCs w:val="28"/>
        </w:rPr>
      </w:pPr>
      <w:r>
        <w:rPr>
          <w:rFonts w:hint="eastAsia" w:ascii="仿宋_GB2312" w:hAnsi="宋体" w:eastAsia="仿宋_GB2312" w:cs="宋体"/>
          <w:b/>
          <w:bCs/>
          <w:color w:val="auto"/>
          <w:kern w:val="0"/>
          <w:sz w:val="32"/>
          <w:szCs w:val="28"/>
        </w:rPr>
        <w:t>4.促进城乡养老服务协调发展。</w:t>
      </w:r>
      <w:r>
        <w:rPr>
          <w:rFonts w:hint="eastAsia" w:ascii="仿宋_GB2312" w:hAnsi="宋体" w:eastAsia="仿宋_GB2312" w:cs="宋体"/>
          <w:color w:val="auto"/>
          <w:kern w:val="0"/>
          <w:sz w:val="32"/>
          <w:szCs w:val="28"/>
        </w:rPr>
        <w:t>统筹城乡养老资源配置，合理规划城乡养老服务设施，加快鹿城西部乡镇养老服务业发展，有效改善农村养老服务发展水平。在实现养老服务照料中心社区全覆盖基础上，</w:t>
      </w:r>
      <w:r>
        <w:rPr>
          <w:rFonts w:hint="eastAsia" w:ascii="仿宋_GB2312" w:hAnsi="宋体" w:eastAsia="仿宋_GB2312" w:cs="宋体"/>
          <w:color w:val="auto"/>
          <w:kern w:val="0"/>
          <w:sz w:val="32"/>
          <w:szCs w:val="28"/>
          <w:lang w:val="zh-CN"/>
        </w:rPr>
        <w:t>全面推进村级居家养老服务照料中心建设，到</w:t>
      </w:r>
      <w:r>
        <w:rPr>
          <w:rFonts w:hint="eastAsia" w:ascii="仿宋_GB2312" w:hAnsi="宋体" w:eastAsia="仿宋_GB2312" w:cs="宋体"/>
          <w:color w:val="auto"/>
          <w:kern w:val="0"/>
          <w:sz w:val="32"/>
          <w:szCs w:val="28"/>
        </w:rPr>
        <w:t>2020年</w:t>
      </w:r>
      <w:r>
        <w:rPr>
          <w:rFonts w:hint="eastAsia" w:ascii="仿宋_GB2312" w:hAnsi="宋体" w:eastAsia="仿宋_GB2312" w:cs="宋体"/>
          <w:color w:val="auto"/>
          <w:kern w:val="0"/>
          <w:sz w:val="32"/>
          <w:szCs w:val="28"/>
          <w:lang w:val="zh-CN"/>
        </w:rPr>
        <w:t>实现</w:t>
      </w:r>
      <w:r>
        <w:rPr>
          <w:rFonts w:hint="eastAsia" w:ascii="仿宋_GB2312" w:hAnsi="宋体" w:eastAsia="仿宋_GB2312" w:cs="宋体"/>
          <w:color w:val="auto"/>
          <w:kern w:val="0"/>
          <w:sz w:val="32"/>
          <w:szCs w:val="28"/>
        </w:rPr>
        <w:t>60</w:t>
      </w:r>
      <w:r>
        <w:rPr>
          <w:rFonts w:hint="eastAsia" w:ascii="仿宋_GB2312" w:hAnsi="宋体" w:eastAsia="仿宋_GB2312" w:cs="宋体"/>
          <w:color w:val="auto"/>
          <w:kern w:val="0"/>
          <w:sz w:val="32"/>
          <w:szCs w:val="28"/>
          <w:lang w:val="zh-CN"/>
        </w:rPr>
        <w:t>%的行政村建有居家养老服务照料中心。完善农村养老服务托底措施，重点向高龄、空巢、生活困难老人提供集中就餐、托养、健康、休闲和上门照护等服务。</w:t>
      </w:r>
    </w:p>
    <w:p>
      <w:pPr>
        <w:spacing w:line="520" w:lineRule="atLeast"/>
        <w:ind w:right="-376" w:rightChars="-179" w:firstLine="643" w:firstLineChars="200"/>
        <w:rPr>
          <w:rFonts w:ascii="仿宋" w:hAnsi="仿宋" w:eastAsia="仿宋"/>
          <w:color w:val="auto"/>
          <w:sz w:val="32"/>
          <w:szCs w:val="32"/>
        </w:rPr>
      </w:pPr>
      <w:r>
        <w:rPr>
          <w:rFonts w:hint="eastAsia" w:ascii="仿宋_GB2312" w:hAnsi="宋体" w:eastAsia="仿宋_GB2312" w:cs="宋体"/>
          <w:b/>
          <w:bCs/>
          <w:color w:val="auto"/>
          <w:kern w:val="0"/>
          <w:sz w:val="32"/>
          <w:szCs w:val="28"/>
        </w:rPr>
        <w:t>5.探索建立多层次长期照护保障体系。</w:t>
      </w:r>
      <w:r>
        <w:rPr>
          <w:rFonts w:hint="eastAsia" w:ascii="仿宋_GB2312" w:hAnsi="宋体" w:eastAsia="仿宋_GB2312" w:cs="宋体"/>
          <w:color w:val="auto"/>
          <w:kern w:val="0"/>
          <w:sz w:val="32"/>
          <w:szCs w:val="28"/>
        </w:rPr>
        <w:t>鼓励各类保险机构开发包括长期商业护理保险在内的多种老年护理保险产品，鼓励优先在鹿城区探索建立长期护理保险制度，积极探索多元化的保险筹资模式，保障老年人长期护理服务需求。加大保长期护理保险的宣传和知识普及力度，积极动员、引导和鼓励家庭、个人参加长期照护保险。建立健全长期照</w:t>
      </w:r>
      <w:r>
        <w:rPr>
          <w:rFonts w:hint="eastAsia" w:ascii="仿宋" w:hAnsi="仿宋" w:eastAsia="仿宋"/>
          <w:color w:val="auto"/>
          <w:sz w:val="32"/>
          <w:szCs w:val="32"/>
        </w:rPr>
        <w:t>护项目内涵、服务标</w:t>
      </w:r>
      <w:r>
        <w:rPr>
          <w:rFonts w:hint="eastAsia" w:ascii="仿宋_GB2312" w:hAnsi="宋体" w:eastAsia="仿宋_GB2312" w:cs="宋体"/>
          <w:color w:val="auto"/>
          <w:kern w:val="0"/>
          <w:sz w:val="32"/>
          <w:szCs w:val="28"/>
          <w:lang w:val="zh-CN"/>
        </w:rPr>
        <w:t>准以及质量评价等行业规范和体制机制，探索建立从居家、社区到专业机构等比较健全的专业照护服务提供体系。</w:t>
      </w:r>
    </w:p>
    <w:p>
      <w:pPr>
        <w:autoSpaceDE w:val="0"/>
        <w:autoSpaceDN w:val="0"/>
        <w:adjustRightInd w:val="0"/>
        <w:spacing w:line="520" w:lineRule="atLeast"/>
        <w:rPr>
          <w:rFonts w:ascii="仿宋_GB2312" w:hAnsi="宋体" w:eastAsia="仿宋_GB2312" w:cs="宋体"/>
          <w:color w:val="auto"/>
          <w:kern w:val="0"/>
          <w:sz w:val="32"/>
          <w:szCs w:val="28"/>
          <w:lang w:val="zh-CN"/>
        </w:rPr>
      </w:pPr>
      <w:r>
        <w:rPr>
          <w:rFonts w:hint="eastAsia" w:ascii="仿宋_GB2312" w:hAnsi="宋体" w:eastAsia="仿宋_GB2312" w:cs="宋体"/>
          <w:b/>
          <w:bCs/>
          <w:color w:val="auto"/>
          <w:kern w:val="0"/>
          <w:sz w:val="32"/>
          <w:szCs w:val="28"/>
        </w:rPr>
        <w:t xml:space="preserve">    6.创新和优化养老服务供给。</w:t>
      </w:r>
      <w:r>
        <w:rPr>
          <w:rFonts w:hint="eastAsia" w:ascii="仿宋_GB2312" w:hAnsi="宋体" w:eastAsia="仿宋_GB2312" w:cs="宋体"/>
          <w:color w:val="auto"/>
          <w:kern w:val="0"/>
          <w:sz w:val="32"/>
          <w:szCs w:val="28"/>
          <w:lang w:val="zh-CN"/>
        </w:rPr>
        <w:t>进一步完善城乡社区居家养老服务照料中心老年食堂、日间照料室、图书阅览室等设施服务功能，加强社区养老服务中心与社区服务中心、文化礼堂、体育、卫生等设施的功能衔接，切实提高各类服务设施的使用效益。进一步扩大政府向养老服务组织购买服务和开发公益性岗位力度，构建居家养老服务支持机制。鼓励“智慧养老”技术在鹿城区的推广应用，为各类“智慧养老”服务商提供必要的扶持。大力发展社工组织，加大养老领域专业社工机构培育力度，在鹿城探索建立完善的社工体制机制，鼓励专业化社工机构举办、承办各类养老服务机构。</w:t>
      </w:r>
    </w:p>
    <w:p>
      <w:pPr>
        <w:pStyle w:val="3"/>
        <w:rPr>
          <w:color w:val="auto"/>
          <w:lang w:val="zh-CN"/>
        </w:rPr>
      </w:pPr>
      <w:bookmarkStart w:id="118" w:name="_Toc21321"/>
      <w:bookmarkStart w:id="119" w:name="_Toc468224840"/>
      <w:r>
        <w:rPr>
          <w:rFonts w:hint="eastAsia"/>
          <w:color w:val="auto"/>
          <w:lang w:val="zh-CN"/>
        </w:rPr>
        <w:t>三、</w:t>
      </w:r>
      <w:bookmarkEnd w:id="118"/>
      <w:r>
        <w:rPr>
          <w:rFonts w:hint="eastAsia" w:ascii="Cambria" w:hAnsi="Cambria" w:eastAsiaTheme="minorEastAsia"/>
          <w:color w:val="auto"/>
          <w:sz w:val="32"/>
          <w:lang w:val="zh-CN"/>
        </w:rPr>
        <w:t>完善老年医疗卫生服务体系，提高老年人健康水平</w:t>
      </w:r>
      <w:bookmarkEnd w:id="119"/>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宋体" w:eastAsia="仿宋_GB2312" w:cs="宋体"/>
          <w:b/>
          <w:bCs/>
          <w:color w:val="auto"/>
          <w:kern w:val="0"/>
          <w:sz w:val="32"/>
          <w:szCs w:val="28"/>
          <w:lang w:val="zh-CN"/>
        </w:rPr>
        <w:t>1.提高老年人医疗保障水平。</w:t>
      </w:r>
      <w:r>
        <w:rPr>
          <w:rFonts w:hint="eastAsia" w:ascii="仿宋_GB2312" w:hAnsi="宋体" w:eastAsia="仿宋_GB2312" w:cs="宋体"/>
          <w:color w:val="auto"/>
          <w:kern w:val="0"/>
          <w:sz w:val="32"/>
          <w:szCs w:val="28"/>
          <w:lang w:val="zh-CN"/>
        </w:rPr>
        <w:t>完善社会医疗保险体系，实现城乡基本医疗保险从政策全覆盖到户籍人口全覆盖，进一步提高医疗保险参保率。进一步完善大病医保制度，有效解决老年人口“因病致贫、因病返贫”问题。探索实行医疗机构、药店医保协议式管理，取消医保定点审批制度，有效扩大医保定点药店覆盖面，方便老人就近购买医保目录药品。支持商业保险参与城乡居民医疗保险服务，提高社会</w:t>
      </w:r>
      <w:r>
        <w:rPr>
          <w:rFonts w:hint="eastAsia" w:ascii="仿宋_GB2312" w:hAnsi="仿宋_GB2312" w:eastAsia="仿宋_GB2312" w:cs="仿宋_GB2312"/>
          <w:color w:val="auto"/>
          <w:sz w:val="32"/>
          <w:szCs w:val="32"/>
        </w:rPr>
        <w:t>保险运行效率。梳理“互联网+”理念，鼓励开展医保移动支付试点，为鹿城西部农村老年人享受医保服务提供便利。</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2.着力推进“医养融合”发展。</w:t>
      </w:r>
      <w:r>
        <w:rPr>
          <w:rFonts w:hint="eastAsia" w:ascii="仿宋_GB2312" w:hAnsi="仿宋_GB2312" w:eastAsia="仿宋_GB2312" w:cs="仿宋_GB2312"/>
          <w:color w:val="auto"/>
          <w:sz w:val="32"/>
          <w:szCs w:val="32"/>
        </w:rPr>
        <w:t>利用鹿城区医疗资源优势，引导医疗机构与周边养老机构建立长效合作机制，开设老年人就诊绿色通道，协同做好老年人慢性病管理和康复护理，增强医疗机构为老年人提供便捷、优先优惠医疗服务能力。</w:t>
      </w:r>
      <w:r>
        <w:rPr>
          <w:rFonts w:hint="eastAsia" w:ascii="仿宋_GB2312" w:hAnsi="仿宋_GB2312" w:eastAsia="仿宋_GB2312" w:cs="仿宋_GB2312"/>
          <w:color w:val="auto"/>
          <w:sz w:val="32"/>
          <w:szCs w:val="32"/>
          <w:lang w:val="zh-CN"/>
        </w:rPr>
        <w:t>充分发挥我市作为国家社会资本办医综合改革试点城市优势，</w:t>
      </w:r>
      <w:r>
        <w:rPr>
          <w:rFonts w:hint="eastAsia" w:ascii="仿宋_GB2312" w:hAnsi="仿宋_GB2312" w:eastAsia="仿宋_GB2312" w:cs="仿宋_GB2312"/>
          <w:color w:val="auto"/>
          <w:sz w:val="32"/>
          <w:szCs w:val="32"/>
        </w:rPr>
        <w:t>将老年康复医院、护理院、疗养院等医疗卫生机构建设纳入全区卫生事业发展规划，积极引入社会资本，加快建设一批康复医院、老年病医院、老年护理院。鼓励和扶持社区卫生服务中心发展社区康复、慢性病管理等老年特色健康服务。到2020年，有条件的二级以上综合医院要建立老年病房或临终关怀病房。</w:t>
      </w:r>
    </w:p>
    <w:p>
      <w:pPr>
        <w:autoSpaceDE w:val="0"/>
        <w:autoSpaceDN w:val="0"/>
        <w:adjustRightInd w:val="0"/>
        <w:spacing w:line="520" w:lineRule="atLeast"/>
        <w:ind w:firstLine="642"/>
        <w:rPr>
          <w:rFonts w:ascii="仿宋_GB2312" w:hAnsi="宋体" w:eastAsia="仿宋_GB2312" w:cs="宋体"/>
          <w:color w:val="auto"/>
          <w:kern w:val="0"/>
          <w:sz w:val="32"/>
          <w:szCs w:val="28"/>
          <w:lang w:val="zh-CN"/>
        </w:rPr>
      </w:pPr>
      <w:r>
        <w:rPr>
          <w:rFonts w:hint="eastAsia" w:ascii="仿宋_GB2312" w:hAnsi="宋体" w:eastAsia="仿宋_GB2312" w:cs="宋体"/>
          <w:b/>
          <w:color w:val="auto"/>
          <w:kern w:val="0"/>
          <w:sz w:val="32"/>
          <w:szCs w:val="28"/>
        </w:rPr>
        <w:t>3、</w:t>
      </w:r>
      <w:r>
        <w:rPr>
          <w:rFonts w:hint="eastAsia" w:ascii="仿宋_GB2312" w:hAnsi="宋体" w:eastAsia="仿宋_GB2312" w:cs="宋体"/>
          <w:b/>
          <w:color w:val="auto"/>
          <w:kern w:val="0"/>
          <w:sz w:val="32"/>
          <w:szCs w:val="28"/>
          <w:lang w:val="zh-CN"/>
        </w:rPr>
        <w:t>全面开展老年人健康管理。</w:t>
      </w:r>
      <w:r>
        <w:rPr>
          <w:rFonts w:hint="eastAsia" w:ascii="仿宋_GB2312" w:hAnsi="宋体" w:eastAsia="仿宋_GB2312" w:cs="宋体"/>
          <w:color w:val="auto"/>
          <w:kern w:val="0"/>
          <w:sz w:val="32"/>
          <w:szCs w:val="28"/>
          <w:lang w:val="zh-CN"/>
        </w:rPr>
        <w:t>结合全市公立医院改革试点，落实家庭医生签约服务任务，将老年人纳入优先覆盖人群，到</w:t>
      </w:r>
      <w:r>
        <w:rPr>
          <w:rFonts w:hint="eastAsia" w:ascii="仿宋_GB2312" w:hAnsi="宋体" w:eastAsia="仿宋_GB2312" w:cs="宋体"/>
          <w:color w:val="auto"/>
          <w:kern w:val="0"/>
          <w:sz w:val="32"/>
          <w:szCs w:val="28"/>
        </w:rPr>
        <w:t>2020年实现全区老人</w:t>
      </w:r>
      <w:r>
        <w:rPr>
          <w:rFonts w:hint="eastAsia" w:ascii="仿宋_GB2312" w:hAnsi="宋体" w:eastAsia="仿宋_GB2312" w:cs="宋体"/>
          <w:color w:val="auto"/>
          <w:kern w:val="0"/>
          <w:sz w:val="32"/>
          <w:szCs w:val="28"/>
          <w:lang w:val="zh-CN"/>
        </w:rPr>
        <w:t>家庭医生签约服务全覆盖，</w:t>
      </w:r>
      <w:r>
        <w:rPr>
          <w:rFonts w:ascii="仿宋_GB2312" w:hAnsi="宋体" w:eastAsia="仿宋_GB2312" w:cs="仿宋_GB2312"/>
          <w:color w:val="auto"/>
          <w:sz w:val="32"/>
          <w:szCs w:val="32"/>
          <w:shd w:val="clear" w:color="auto" w:fill="FFFFFF"/>
        </w:rPr>
        <w:t>形成长期稳定的契约服务关系</w:t>
      </w:r>
      <w:r>
        <w:rPr>
          <w:rFonts w:hint="eastAsia" w:ascii="仿宋_GB2312" w:hAnsi="宋体" w:eastAsia="仿宋_GB2312" w:cs="仿宋_GB2312"/>
          <w:color w:val="auto"/>
          <w:sz w:val="32"/>
          <w:szCs w:val="32"/>
          <w:shd w:val="clear" w:color="auto" w:fill="FFFFFF"/>
        </w:rPr>
        <w:t>，</w:t>
      </w:r>
      <w:r>
        <w:rPr>
          <w:rFonts w:hint="eastAsia" w:ascii="仿宋_GB2312" w:hAnsi="宋体" w:eastAsia="仿宋_GB2312" w:cs="宋体"/>
          <w:color w:val="auto"/>
          <w:kern w:val="0"/>
          <w:sz w:val="32"/>
          <w:szCs w:val="28"/>
          <w:lang w:val="zh-CN"/>
        </w:rPr>
        <w:t>对患有慢性病、精神病等疾病老人加强动态管理。</w:t>
      </w:r>
      <w:r>
        <w:rPr>
          <w:rFonts w:hint="eastAsia" w:ascii="仿宋_GB2312" w:hAnsi="宋体" w:eastAsia="仿宋_GB2312" w:cs="仿宋_GB2312"/>
          <w:color w:val="auto"/>
          <w:sz w:val="32"/>
          <w:szCs w:val="32"/>
          <w:shd w:val="clear" w:color="auto" w:fill="FFFFFF"/>
        </w:rPr>
        <w:t>结合老年教育工作，</w:t>
      </w:r>
      <w:r>
        <w:rPr>
          <w:rFonts w:hint="eastAsia" w:ascii="仿宋_GB2312" w:hAnsi="宋体" w:eastAsia="仿宋_GB2312" w:cs="宋体"/>
          <w:color w:val="auto"/>
          <w:kern w:val="0"/>
          <w:sz w:val="32"/>
          <w:szCs w:val="28"/>
          <w:lang w:val="zh-CN"/>
        </w:rPr>
        <w:t>开展各种形式的健康教育，普及高血压、糖尿病等慢性病和严重精神疾病防治知识，增强老年人自我保健意识，积极关注老年人心理健康。提高社区为老年人提供日常护理、慢性病管理、的能力。</w:t>
      </w:r>
    </w:p>
    <w:p>
      <w:pPr>
        <w:autoSpaceDE w:val="0"/>
        <w:autoSpaceDN w:val="0"/>
        <w:adjustRightInd w:val="0"/>
        <w:spacing w:line="520" w:lineRule="atLeast"/>
        <w:ind w:firstLine="641"/>
        <w:rPr>
          <w:rFonts w:ascii="仿宋_GB2312" w:hAnsi="宋体" w:eastAsia="仿宋_GB2312" w:cs="宋体"/>
          <w:color w:val="auto"/>
          <w:kern w:val="0"/>
          <w:sz w:val="32"/>
          <w:szCs w:val="28"/>
          <w:lang w:val="zh-CN"/>
        </w:rPr>
      </w:pPr>
      <w:r>
        <w:rPr>
          <w:rFonts w:hint="eastAsia" w:ascii="仿宋_GB2312" w:hAnsi="宋体" w:eastAsia="仿宋_GB2312" w:cs="宋体"/>
          <w:b/>
          <w:bCs/>
          <w:color w:val="auto"/>
          <w:kern w:val="0"/>
          <w:sz w:val="32"/>
          <w:szCs w:val="28"/>
        </w:rPr>
        <w:t>4、</w:t>
      </w:r>
      <w:r>
        <w:rPr>
          <w:rFonts w:hint="eastAsia" w:ascii="仿宋_GB2312" w:hAnsi="宋体" w:eastAsia="仿宋_GB2312" w:cs="宋体"/>
          <w:b/>
          <w:bCs/>
          <w:color w:val="auto"/>
          <w:kern w:val="0"/>
          <w:sz w:val="32"/>
          <w:szCs w:val="28"/>
          <w:lang w:val="zh-CN"/>
        </w:rPr>
        <w:t>壮大老年医疗服务队伍。</w:t>
      </w:r>
      <w:r>
        <w:rPr>
          <w:rFonts w:hint="eastAsia" w:ascii="仿宋_GB2312" w:hAnsi="宋体" w:eastAsia="仿宋_GB2312" w:cs="宋体"/>
          <w:color w:val="auto"/>
          <w:kern w:val="0"/>
          <w:sz w:val="32"/>
          <w:szCs w:val="28"/>
          <w:lang w:val="zh-CN"/>
        </w:rPr>
        <w:t>做好职称评定、专业技术培训和继续医学教育等方面的制度衔接，对养老机构和医疗卫生机构中的医务人员同等对待。完善薪酬、职称评定等激励机制，鼓励各专业的医师到养老机构开展多点执业。建立医疗卫生机构与医养结合机构人员进修轮训机制，促进人才有序流动。加强专业技能培训，大力推进养老护理员等职业技能鉴定工作。支持在鹿城辖区内的高等院校、中等职业学校增设相关专业课程，加快培养老年医学、康复、护理、营养、心理和社会工作等方面专业人才。</w:t>
      </w:r>
    </w:p>
    <w:p>
      <w:pPr>
        <w:pStyle w:val="3"/>
        <w:rPr>
          <w:color w:val="auto"/>
          <w:lang w:val="zh-CN"/>
        </w:rPr>
      </w:pPr>
      <w:bookmarkStart w:id="120" w:name="_Toc468224841"/>
      <w:bookmarkStart w:id="121" w:name="_Toc27504"/>
      <w:r>
        <w:rPr>
          <w:rFonts w:hint="eastAsia"/>
          <w:color w:val="auto"/>
          <w:lang w:val="zh-CN"/>
        </w:rPr>
        <w:t>四、优化老年人居住生活环境，提升老年人的幸福感</w:t>
      </w:r>
      <w:bookmarkEnd w:id="120"/>
    </w:p>
    <w:bookmarkEnd w:id="121"/>
    <w:p>
      <w:pPr>
        <w:autoSpaceDE w:val="0"/>
        <w:autoSpaceDN w:val="0"/>
        <w:adjustRightInd w:val="0"/>
        <w:spacing w:line="520" w:lineRule="atLeast"/>
        <w:ind w:firstLine="641"/>
        <w:rPr>
          <w:rFonts w:ascii="仿宋_GB2312" w:hAnsi="宋体" w:eastAsia="仿宋_GB2312" w:cs="宋体"/>
          <w:color w:val="auto"/>
          <w:kern w:val="0"/>
          <w:sz w:val="32"/>
          <w:szCs w:val="28"/>
          <w:lang w:val="zh-CN"/>
        </w:rPr>
      </w:pPr>
      <w:r>
        <w:rPr>
          <w:rFonts w:hint="eastAsia" w:ascii="仿宋_GB2312" w:hAnsi="宋体" w:eastAsia="仿宋_GB2312" w:cs="宋体"/>
          <w:b/>
          <w:bCs/>
          <w:color w:val="auto"/>
          <w:kern w:val="0"/>
          <w:sz w:val="32"/>
          <w:szCs w:val="28"/>
        </w:rPr>
        <w:t>1</w:t>
      </w:r>
      <w:r>
        <w:rPr>
          <w:rFonts w:hint="eastAsia" w:ascii="仿宋_GB2312" w:hAnsi="宋体" w:eastAsia="仿宋_GB2312" w:cs="宋体"/>
          <w:b/>
          <w:bCs/>
          <w:color w:val="auto"/>
          <w:kern w:val="0"/>
          <w:sz w:val="32"/>
          <w:szCs w:val="28"/>
          <w:lang w:val="zh-CN"/>
        </w:rPr>
        <w:t>.强化老年人安居保障。</w:t>
      </w:r>
      <w:r>
        <w:rPr>
          <w:rFonts w:hint="eastAsia" w:ascii="仿宋_GB2312" w:hAnsi="宋体" w:eastAsia="仿宋_GB2312" w:cs="宋体"/>
          <w:color w:val="auto"/>
          <w:kern w:val="0"/>
          <w:sz w:val="32"/>
          <w:szCs w:val="28"/>
          <w:lang w:val="zh-CN"/>
        </w:rPr>
        <w:t>做好低收入老年人基本住房保障工作，制定保障城镇贫困老年人基本住房的托底政策，落实《温州市区公共租赁住房保障办法》及实施细则，将低收入老人列为优先照顾对象。加大农村贫困老年人基本住房保障力度，争取到2020年全市实现农村贫困老年人基本住房保障的全覆盖。做好城乡老年人危旧住宅房屋排查工作，结合旧城旧村改造，加快推进老年人危旧住宅房屋治理改造，尽快消除安全隐患。稳步开展城中村改造，采取结合城市基础设施、城市棚户区(城中村)改造等建设项目，实施城中村成片改造，改善老年人口居住条件。</w:t>
      </w:r>
    </w:p>
    <w:p>
      <w:pPr>
        <w:autoSpaceDE w:val="0"/>
        <w:autoSpaceDN w:val="0"/>
        <w:adjustRightInd w:val="0"/>
        <w:spacing w:line="520" w:lineRule="atLeast"/>
        <w:ind w:firstLine="641"/>
        <w:rPr>
          <w:rFonts w:ascii="仿宋_GB2312" w:hAnsi="宋体" w:eastAsia="仿宋_GB2312" w:cs="宋体"/>
          <w:color w:val="auto"/>
          <w:kern w:val="0"/>
          <w:sz w:val="32"/>
          <w:szCs w:val="28"/>
          <w:lang w:val="zh-CN"/>
        </w:rPr>
      </w:pPr>
      <w:r>
        <w:rPr>
          <w:rFonts w:hint="eastAsia" w:ascii="仿宋_GB2312" w:hAnsi="宋体" w:eastAsia="仿宋_GB2312" w:cs="宋体"/>
          <w:b/>
          <w:bCs/>
          <w:color w:val="auto"/>
          <w:kern w:val="0"/>
          <w:sz w:val="32"/>
          <w:szCs w:val="28"/>
        </w:rPr>
        <w:t>2</w:t>
      </w:r>
      <w:r>
        <w:rPr>
          <w:rFonts w:hint="eastAsia" w:ascii="仿宋_GB2312" w:hAnsi="宋体" w:eastAsia="仿宋_GB2312" w:cs="宋体"/>
          <w:b/>
          <w:bCs/>
          <w:color w:val="auto"/>
          <w:kern w:val="0"/>
          <w:sz w:val="32"/>
          <w:szCs w:val="28"/>
          <w:lang w:val="zh-CN"/>
        </w:rPr>
        <w:t>.积极开展住区适老化改造。</w:t>
      </w:r>
      <w:r>
        <w:rPr>
          <w:rFonts w:hint="eastAsia" w:ascii="仿宋_GB2312" w:hAnsi="宋体" w:eastAsia="仿宋_GB2312" w:cs="宋体"/>
          <w:color w:val="auto"/>
          <w:kern w:val="0"/>
          <w:sz w:val="32"/>
          <w:szCs w:val="28"/>
          <w:lang w:val="zh-CN"/>
        </w:rPr>
        <w:t>针对我区大型居住区密集的特点，政府引导和个人自愿相结合，积极推进住区加装电梯、卫生间改造、厨房改造等适老化改造，稳步推进居住区公共区域和设施的适老化建设改造。对于个人住房适老化改造，鼓励引入社会力量和市场资源参与项目改造，由市场提供多样化和个性化改造服务，满足居民多样化、多层次改造需求。对于公共区域和设施的适老化改造，应认真按照国家无障碍设施工程建设相关标准，对道路、建筑物、居住区等进行标准化建造。政府应加强住区适老化改造的宣传和知识普及力度，积极选定若干条件成熟的社区进行试点，创造条件引进多元化改造服务市场提供主体，为全区住区适老化改造提供良好条件。结合住区适老化改造，鼓励子女与老年人共同生活或就近居住。</w:t>
      </w:r>
    </w:p>
    <w:p>
      <w:pPr>
        <w:autoSpaceDE w:val="0"/>
        <w:autoSpaceDN w:val="0"/>
        <w:adjustRightInd w:val="0"/>
        <w:spacing w:line="520" w:lineRule="atLeast"/>
        <w:ind w:firstLine="641"/>
        <w:rPr>
          <w:rFonts w:ascii="仿宋_GB2312" w:hAnsi="宋体" w:eastAsia="仿宋_GB2312" w:cs="宋体"/>
          <w:color w:val="auto"/>
          <w:kern w:val="0"/>
          <w:sz w:val="32"/>
          <w:szCs w:val="28"/>
          <w:lang w:val="zh-CN"/>
        </w:rPr>
      </w:pPr>
      <w:r>
        <w:rPr>
          <w:rFonts w:hint="eastAsia" w:ascii="仿宋_GB2312" w:hAnsi="宋体" w:eastAsia="仿宋_GB2312" w:cs="宋体"/>
          <w:b/>
          <w:bCs/>
          <w:color w:val="auto"/>
          <w:kern w:val="0"/>
          <w:sz w:val="32"/>
          <w:szCs w:val="28"/>
        </w:rPr>
        <w:t>3</w:t>
      </w:r>
      <w:r>
        <w:rPr>
          <w:rFonts w:hint="eastAsia" w:ascii="仿宋_GB2312" w:hAnsi="宋体" w:eastAsia="仿宋_GB2312" w:cs="宋体"/>
          <w:b/>
          <w:bCs/>
          <w:color w:val="auto"/>
          <w:kern w:val="0"/>
          <w:sz w:val="32"/>
          <w:szCs w:val="28"/>
          <w:lang w:val="zh-CN"/>
        </w:rPr>
        <w:t>.构建绿色适老环境。</w:t>
      </w:r>
      <w:r>
        <w:rPr>
          <w:rFonts w:hint="eastAsia" w:ascii="仿宋_GB2312" w:hAnsi="宋体" w:eastAsia="仿宋_GB2312" w:cs="宋体"/>
          <w:color w:val="auto"/>
          <w:kern w:val="0"/>
          <w:sz w:val="32"/>
          <w:szCs w:val="28"/>
          <w:lang w:val="zh-CN"/>
        </w:rPr>
        <w:t>以污染治理和生态修复为着力点，强化基层环境综合整治，打好“三改一拆”“五水共治”组合拳，为全区老年人营造良好的绿色宜居环境。加快温瑞塘河“一环三线”核心区建设，基本完成水体治理修复，建成“塘河十景”等一批沿河两岸景观，争取将整个塘河沿线打造成都市生态公园。推进城区绿地建设和公园、道路的美化彩化工作，让水更清、天更蓝、地更净、城更美。推动绿色建筑发展，切实抓好在建养老服务设施绿色节能工作，推进已建养老服务设施的节能改造。深化美丽乡村建设，加大农村环境综合整治力度，积极构建绿色适老环境。在老年人中普及绿色生活理念，引导广大老年人开展日常生活节约用电、节约用水、不随意排放生活垃圾污水、保持公共卫生整洁、公共场所全面禁烟等绿色生活行动。</w:t>
      </w:r>
    </w:p>
    <w:p>
      <w:pPr>
        <w:pStyle w:val="3"/>
        <w:rPr>
          <w:color w:val="auto"/>
          <w:lang w:val="zh-CN"/>
        </w:rPr>
      </w:pPr>
      <w:bookmarkStart w:id="122" w:name="_Toc15624"/>
      <w:bookmarkStart w:id="123" w:name="_Toc468224842"/>
      <w:bookmarkStart w:id="124" w:name="_Toc1709"/>
      <w:r>
        <w:rPr>
          <w:rFonts w:hint="eastAsia"/>
          <w:color w:val="auto"/>
          <w:lang w:val="zh-CN"/>
        </w:rPr>
        <w:t>五、</w:t>
      </w:r>
      <w:bookmarkEnd w:id="122"/>
      <w:r>
        <w:rPr>
          <w:rFonts w:hint="eastAsia" w:ascii="Cambria" w:hAnsi="Cambria" w:eastAsiaTheme="minorEastAsia"/>
          <w:color w:val="auto"/>
          <w:sz w:val="32"/>
          <w:lang w:val="zh-CN"/>
        </w:rPr>
        <w:t>鼓励老年人参与社会,发挥老年人的社会价值</w:t>
      </w:r>
      <w:bookmarkEnd w:id="123"/>
    </w:p>
    <w:p>
      <w:pPr>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1.提升老年人力资源开发。</w:t>
      </w:r>
      <w:r>
        <w:rPr>
          <w:rFonts w:hint="eastAsia" w:ascii="仿宋_GB2312" w:hAnsi="仿宋" w:eastAsia="仿宋_GB2312"/>
          <w:color w:val="auto"/>
          <w:sz w:val="32"/>
          <w:szCs w:val="32"/>
        </w:rPr>
        <w:t>鼓励和支持有专业技术的离退休老年人，进一步发挥在经济建设和科技进步中的服务和推动作用，参与融入大众创业、万众创新。拓宽老年人参与经济、政治、文化和社会生活的渠道，鼓励和帮助低龄老年人参与继续教育，开展终身学习，增长和更新文化知识，掌握新的技术、技能，实现老年人力资源的再开发。</w:t>
      </w:r>
    </w:p>
    <w:p>
      <w:pPr>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2.发挥老年人力资源的作用。</w:t>
      </w:r>
      <w:r>
        <w:rPr>
          <w:rFonts w:hint="eastAsia" w:ascii="仿宋_GB2312" w:hAnsi="仿宋" w:eastAsia="仿宋_GB2312"/>
          <w:color w:val="auto"/>
          <w:sz w:val="32"/>
          <w:szCs w:val="32"/>
        </w:rPr>
        <w:t>重视、珍惜老年人的知识、技能、经验和优良品德，发挥老年人优良品行在家庭教育中的潜移默化作用和对社会成员的言传身教作用，发挥老年人在化解社会矛盾、维护社会稳定中的经验优势和威望优势，发挥老年人对年轻人的传帮带作用。要为老年人发挥作用创造条件，引导老年人保持健康心志和进取精神，发挥正能量，作出新贡献。</w:t>
      </w:r>
    </w:p>
    <w:p>
      <w:pPr>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3.发挥涉老组织的积极功能。</w:t>
      </w:r>
      <w:r>
        <w:rPr>
          <w:rFonts w:hint="eastAsia" w:ascii="仿宋_GB2312" w:hAnsi="仿宋" w:eastAsia="仿宋_GB2312"/>
          <w:color w:val="auto"/>
          <w:sz w:val="32"/>
          <w:szCs w:val="32"/>
        </w:rPr>
        <w:t>鼓励和引导老年人创建各类公益服务组织，充分</w:t>
      </w:r>
      <w:r>
        <w:rPr>
          <w:rFonts w:hint="eastAsia" w:ascii="仿宋_GB2312" w:hAnsi="仿宋" w:eastAsia="仿宋_GB2312" w:cs="仿宋_GB2312"/>
          <w:color w:val="auto"/>
          <w:sz w:val="32"/>
          <w:szCs w:val="32"/>
        </w:rPr>
        <w:t>发挥基层老年组织的自我管理、自我服务、自我教育作用，开展“银龄互助”活动。</w:t>
      </w:r>
      <w:r>
        <w:rPr>
          <w:rFonts w:hint="eastAsia" w:ascii="仿宋_GB2312" w:hAnsi="仿宋" w:eastAsia="仿宋_GB2312"/>
          <w:color w:val="auto"/>
          <w:sz w:val="32"/>
          <w:szCs w:val="32"/>
        </w:rPr>
        <w:t xml:space="preserve">规范基层老年人协会组织建设，完善老年活动设施，规范工作制度，保障活动经费，丰富活动内容，完备登记备案手续。力争到2020年，全区都要成立老年协会，镇（街）根据工作需要可以成立老年协会，行政村（社区）成立老年协会达到90%以上，逐步健全区、镇（街）、村（社区）老年协会三级网络。充分发挥村民自治功能和老年协会等社会组织的作用，探索农村老年人活动站点由老年协会等社会组织自治运营管理模式。 </w:t>
      </w:r>
    </w:p>
    <w:p>
      <w:pPr>
        <w:pStyle w:val="3"/>
        <w:rPr>
          <w:color w:val="auto"/>
          <w:lang w:val="zh-CN"/>
        </w:rPr>
      </w:pPr>
      <w:bookmarkStart w:id="125" w:name="_Toc468224843"/>
      <w:bookmarkStart w:id="126" w:name="_Toc25484"/>
      <w:r>
        <w:rPr>
          <w:rFonts w:hint="eastAsia"/>
          <w:color w:val="auto"/>
          <w:lang w:val="zh-CN"/>
        </w:rPr>
        <w:t>六、发展老年人文教体娱，丰富老年人精神文化生活</w:t>
      </w:r>
      <w:bookmarkEnd w:id="125"/>
      <w:bookmarkEnd w:id="126"/>
    </w:p>
    <w:p>
      <w:pPr>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1.</w:t>
      </w:r>
      <w:r>
        <w:rPr>
          <w:rFonts w:hint="eastAsia" w:ascii="仿宋_GB2312" w:hAnsi="仿宋" w:eastAsia="仿宋_GB2312"/>
          <w:b/>
          <w:color w:val="auto"/>
          <w:sz w:val="32"/>
          <w:szCs w:val="32"/>
          <w:lang w:val="en-US" w:eastAsia="zh-CN"/>
        </w:rPr>
        <w:t>构建</w:t>
      </w:r>
      <w:r>
        <w:rPr>
          <w:rFonts w:hint="eastAsia" w:ascii="仿宋_GB2312" w:hAnsi="仿宋" w:eastAsia="仿宋_GB2312"/>
          <w:b/>
          <w:color w:val="auto"/>
          <w:sz w:val="32"/>
          <w:szCs w:val="32"/>
        </w:rPr>
        <w:t>老年教育发展</w:t>
      </w:r>
      <w:r>
        <w:rPr>
          <w:rFonts w:hint="eastAsia" w:ascii="仿宋_GB2312" w:hAnsi="仿宋" w:eastAsia="仿宋_GB2312"/>
          <w:b/>
          <w:color w:val="auto"/>
          <w:sz w:val="32"/>
          <w:szCs w:val="32"/>
          <w:lang w:eastAsia="zh-CN"/>
        </w:rPr>
        <w:t>新格局</w:t>
      </w:r>
      <w:r>
        <w:rPr>
          <w:rFonts w:hint="eastAsia" w:ascii="仿宋_GB2312" w:hAnsi="仿宋" w:eastAsia="仿宋_GB2312"/>
          <w:b/>
          <w:color w:val="auto"/>
          <w:sz w:val="32"/>
          <w:szCs w:val="32"/>
        </w:rPr>
        <w:t>。</w:t>
      </w:r>
      <w:r>
        <w:rPr>
          <w:rFonts w:hint="eastAsia" w:ascii="仿宋_GB2312" w:hAnsi="仿宋" w:eastAsia="仿宋_GB2312"/>
          <w:color w:val="auto"/>
          <w:sz w:val="32"/>
          <w:szCs w:val="32"/>
        </w:rPr>
        <w:t>立足老年人的学习需求，依托温州城市大学（温州老年大学）的优势，提升鹿城老年</w:t>
      </w:r>
      <w:r>
        <w:rPr>
          <w:rFonts w:hint="eastAsia" w:ascii="仿宋_GB2312" w:hAnsi="仿宋" w:eastAsia="仿宋_GB2312"/>
          <w:color w:val="auto"/>
          <w:sz w:val="32"/>
          <w:szCs w:val="32"/>
          <w:lang w:eastAsia="zh-CN"/>
        </w:rPr>
        <w:t>教育</w:t>
      </w:r>
      <w:r>
        <w:rPr>
          <w:rFonts w:hint="eastAsia" w:ascii="仿宋_GB2312" w:hAnsi="仿宋" w:eastAsia="仿宋_GB2312"/>
          <w:color w:val="auto"/>
          <w:sz w:val="32"/>
          <w:szCs w:val="32"/>
        </w:rPr>
        <w:t>水平</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推动形成以鹿城老年大学为总校，社区老年教育办学为基础，老年远程教育为平台，构建“总校+基层+远程”的“三位一体”新型老年教育服务体系。推动鹿城社区学院与老年大学整合，打造区域老年教育中心。大力发展社区老年教育，注重社区老年教育机构与社区居家养老服务中心、社区文化礼堂等基层资源的整合，推进老年电视大学与社区老年学习苑等基层老年教育资源整合，不断扩大基层老年教育规模，基本实现乡镇（街道）老年学习全覆盖，构建城区老年人20分钟学习圈。积极倡导老年教育信息化，促进互联网技术和思维与老年教育相融合，推进老年远程教育方式改革，依托温州老年教育网的资源优势，集聚老年教育各类优质数字化资源，培育老年人网上学习圈、移动学习群等网络学习团队，为老年学习者创设更加方便、更加自主的网上学习环境。</w:t>
      </w:r>
    </w:p>
    <w:p>
      <w:pPr>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 xml:space="preserve"> 2.丰富老年人文化生活。</w:t>
      </w:r>
      <w:r>
        <w:rPr>
          <w:rFonts w:hint="eastAsia" w:ascii="仿宋_GB2312" w:hAnsi="仿宋" w:eastAsia="仿宋_GB2312"/>
          <w:color w:val="auto"/>
          <w:sz w:val="32"/>
          <w:szCs w:val="32"/>
        </w:rPr>
        <w:t>加强老年文化活动设施建设。完善老年活动中心（室）设施配套和服务功能，推进老年活动中心（室）、社区老年学习苑、文化礼堂等三大社区老年文化阵地建设，新建一批适合老年人娱乐活动的场所和设施，改善老年人社会文化生活条件。提升老年人公共文化服务水平。推进我区适老公共文化服务设施全部实现无障碍、零门槛进入，支持旅游景点、博物馆、美术馆、科技馆、纪念馆、公共图书馆、文化馆等场所为老年人免费开放。广泛开展群众性老年文化活动。培育老年旅游、老年养生等多样化的老年文化活动形态，鼓励发展各类老年文化团体，鼓励社会兴办一批提供老年人精神文化产品的企业和社会组织，做好敬老月、老年文化艺术周等老年文化活动载体品牌。</w:t>
      </w:r>
    </w:p>
    <w:p>
      <w:pPr>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3.加强老年人体育健身活动。</w:t>
      </w:r>
      <w:r>
        <w:rPr>
          <w:rFonts w:hint="eastAsia" w:ascii="仿宋_GB2312" w:hAnsi="仿宋" w:eastAsia="仿宋_GB2312"/>
          <w:color w:val="auto"/>
          <w:sz w:val="32"/>
          <w:szCs w:val="32"/>
        </w:rPr>
        <w:t>建立健全老年人体育组织网络。鼓励发展多种类型的老年人体育组织，健全区、乡镇（街道）和行政村（社区）三级老年人体育协会，加快老年体育活动中心建设，逐步形成并完善老年人体育组织网络。改善老年体育健身活动设施。加快老年体育活动设施、特别是村（社区）老年体育设施的建设，将老年体育设施建设纳入新农村建设、新小区建设、老小区改造和创建体育区的重要指标，支持公共体育场馆和学校、企事业单位、团体的内部体育设施向老年人免费开放。</w:t>
      </w:r>
    </w:p>
    <w:p>
      <w:pPr>
        <w:rPr>
          <w:rFonts w:ascii="Cambria" w:hAnsi="Cambria" w:eastAsiaTheme="minorEastAsia"/>
          <w:b/>
          <w:bCs/>
          <w:color w:val="auto"/>
          <w:sz w:val="32"/>
          <w:szCs w:val="32"/>
          <w:lang w:val="zh-CN"/>
        </w:rPr>
      </w:pPr>
      <w:r>
        <w:rPr>
          <w:rFonts w:hint="eastAsia" w:ascii="仿宋_GB2312" w:hAnsi="仿宋" w:eastAsia="仿宋_GB2312"/>
          <w:color w:val="auto"/>
          <w:sz w:val="32"/>
          <w:szCs w:val="32"/>
        </w:rPr>
        <w:t xml:space="preserve">    广泛开展老年人体育健身活动。立足社区积极开展老年人喜闻乐见的健身活动，组织老年人举办社区运动会、家庭运动会、楼群运动会等适合老年人特点的群体健身活动，加强老年人科学体育健身知识的普及宣传，力争老年人体育活</w:t>
      </w:r>
      <w:r>
        <w:rPr>
          <w:rFonts w:hint="eastAsia" w:ascii="仿宋_GB2312" w:hAnsi="仿宋" w:eastAsia="仿宋_GB2312"/>
          <w:color w:val="auto"/>
          <w:sz w:val="32"/>
          <w:szCs w:val="32"/>
          <w:lang w:val="zh-CN"/>
        </w:rPr>
        <w:t>动参与率达到70%。</w:t>
      </w:r>
    </w:p>
    <w:p>
      <w:pPr>
        <w:pStyle w:val="3"/>
        <w:rPr>
          <w:color w:val="auto"/>
          <w:lang w:val="zh-CN"/>
        </w:rPr>
      </w:pPr>
      <w:bookmarkStart w:id="127" w:name="_Toc8647"/>
      <w:bookmarkStart w:id="128" w:name="_Toc468224844"/>
      <w:r>
        <w:rPr>
          <w:rFonts w:hint="eastAsia"/>
          <w:color w:val="auto"/>
          <w:lang w:val="zh-CN"/>
        </w:rPr>
        <w:t>七、切实维护老年人合法权益</w:t>
      </w:r>
      <w:bookmarkEnd w:id="127"/>
      <w:r>
        <w:rPr>
          <w:rFonts w:hint="eastAsia"/>
          <w:color w:val="auto"/>
          <w:lang w:val="zh-CN"/>
        </w:rPr>
        <w:t>，提高老年人社会地位</w:t>
      </w:r>
      <w:bookmarkEnd w:id="128"/>
    </w:p>
    <w:p>
      <w:pPr>
        <w:widowControl/>
        <w:spacing w:line="560" w:lineRule="exact"/>
        <w:ind w:firstLine="643" w:firstLineChars="200"/>
        <w:jc w:val="left"/>
        <w:rPr>
          <w:rFonts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1.加强老年普法宣传。</w:t>
      </w:r>
      <w:r>
        <w:rPr>
          <w:rFonts w:hint="eastAsia" w:ascii="仿宋_GB2312" w:hAnsi="仿宋" w:eastAsia="仿宋_GB2312" w:cs="宋体"/>
          <w:color w:val="auto"/>
          <w:kern w:val="0"/>
          <w:sz w:val="32"/>
          <w:szCs w:val="32"/>
        </w:rPr>
        <w:t>加大宣传力度，深入开展维护老年人合法权益的法制教育和普法工作，进一步提高全体公民维护老年人合法权益的自觉性和法律意识。各级司法部门要把普法宣传教育和保护老年人合法权益结合起来。</w:t>
      </w:r>
    </w:p>
    <w:p>
      <w:pPr>
        <w:widowControl/>
        <w:spacing w:line="560" w:lineRule="exact"/>
        <w:ind w:firstLine="643" w:firstLineChars="200"/>
        <w:jc w:val="left"/>
        <w:rPr>
          <w:rFonts w:ascii="仿宋_GB2312" w:hAnsi="仿宋" w:eastAsia="仿宋_GB2312" w:cs="宋体"/>
          <w:bCs/>
          <w:color w:val="auto"/>
          <w:kern w:val="0"/>
          <w:sz w:val="32"/>
          <w:szCs w:val="32"/>
        </w:rPr>
      </w:pPr>
      <w:r>
        <w:rPr>
          <w:rFonts w:hint="eastAsia" w:ascii="仿宋_GB2312" w:hAnsi="仿宋" w:eastAsia="仿宋_GB2312" w:cs="宋体"/>
          <w:b/>
          <w:bCs/>
          <w:color w:val="auto"/>
          <w:kern w:val="0"/>
          <w:sz w:val="32"/>
          <w:szCs w:val="32"/>
        </w:rPr>
        <w:t>2.保障老年人合法权益。</w:t>
      </w:r>
      <w:r>
        <w:rPr>
          <w:rFonts w:hint="eastAsia" w:ascii="仿宋_GB2312" w:hAnsi="仿宋" w:eastAsia="仿宋_GB2312" w:cs="宋体"/>
          <w:bCs/>
          <w:color w:val="auto"/>
          <w:kern w:val="0"/>
          <w:sz w:val="32"/>
          <w:szCs w:val="32"/>
        </w:rPr>
        <w:t>健全老年人权益保障制度，依法处理和打击侵犯老年人合法权益的不法行为，依法取缔伤害老年人身心健康、宣传迷信邪说、侵害老年人合法权益的非法组织。</w:t>
      </w:r>
      <w:r>
        <w:rPr>
          <w:rFonts w:hint="eastAsia" w:ascii="仿宋_GB2312" w:hAnsi="仿宋" w:eastAsia="仿宋_GB2312" w:cs="宋体"/>
          <w:color w:val="auto"/>
          <w:kern w:val="0"/>
          <w:sz w:val="32"/>
          <w:szCs w:val="32"/>
        </w:rPr>
        <w:t>加大对老年人法律援助和服务的支持力度，在城乡社区建立法律援助服务点，使老年人能够就地、就近、及时地得到优质的法律服务。开通法律援助的“绿色通道”，对老年人的法律援助案件，实行“优先受理、优先解答”，对低保、残疾、孤寡老年人实行“应援尽援”。加强老年人优待工作。</w:t>
      </w:r>
      <w:r>
        <w:rPr>
          <w:rFonts w:hint="eastAsia" w:ascii="仿宋_GB2312" w:hAnsi="仿宋" w:eastAsia="仿宋_GB2312" w:cs="宋体"/>
          <w:bCs/>
          <w:color w:val="auto"/>
          <w:kern w:val="0"/>
          <w:sz w:val="32"/>
          <w:szCs w:val="32"/>
        </w:rPr>
        <w:t>进一步增加老年人优待内容，提高优待水平。率先在卫生保健、交通出行、商业服务、文体休闲等方面，对常住本行政区域内的老年人给予同等优待。</w:t>
      </w:r>
    </w:p>
    <w:p>
      <w:pPr>
        <w:widowControl/>
        <w:spacing w:line="560" w:lineRule="exact"/>
        <w:ind w:firstLine="643" w:firstLineChars="200"/>
        <w:jc w:val="left"/>
        <w:rPr>
          <w:color w:val="auto"/>
        </w:rPr>
      </w:pPr>
      <w:r>
        <w:rPr>
          <w:rFonts w:hint="eastAsia" w:ascii="仿宋_GB2312" w:hAnsi="仿宋" w:eastAsia="仿宋_GB2312" w:cs="宋体"/>
          <w:b/>
          <w:bCs/>
          <w:color w:val="auto"/>
          <w:kern w:val="0"/>
          <w:sz w:val="32"/>
          <w:szCs w:val="32"/>
        </w:rPr>
        <w:t>3.持续开展“敬老文明号”活动。</w:t>
      </w:r>
      <w:r>
        <w:rPr>
          <w:rFonts w:hint="eastAsia" w:ascii="仿宋_GB2312" w:hAnsi="仿宋" w:eastAsia="仿宋_GB2312" w:cs="宋体"/>
          <w:color w:val="auto"/>
          <w:kern w:val="0"/>
          <w:sz w:val="32"/>
          <w:szCs w:val="32"/>
        </w:rPr>
        <w:t>倡导涉老部门、为老服务组织、社会服务窗口持续开展“敬老文明号”创建活动，广泛动员社会各界积极参与，大力开展行业（系统）共创联创活动，支持条件成熟的地区建设一批“敬老文明号”示范街区，进一步培育尊老、敬老、爱老、助老的文化氛围，把“敬老文明号”创建活动列入精神文明建设和养老服务业发展的重要内容。</w:t>
      </w:r>
    </w:p>
    <w:p>
      <w:pPr>
        <w:pStyle w:val="3"/>
        <w:rPr>
          <w:color w:val="auto"/>
          <w:lang w:val="zh-CN"/>
        </w:rPr>
      </w:pPr>
      <w:bookmarkStart w:id="129" w:name="_Toc468224845"/>
      <w:r>
        <w:rPr>
          <w:rFonts w:hint="eastAsia"/>
          <w:color w:val="auto"/>
          <w:lang w:val="zh-CN"/>
        </w:rPr>
        <w:t>八、加快老龄产业创新发展</w:t>
      </w:r>
      <w:bookmarkEnd w:id="124"/>
      <w:r>
        <w:rPr>
          <w:rFonts w:hint="eastAsia" w:ascii="Cambria" w:hAnsi="Cambria" w:eastAsiaTheme="minorEastAsia"/>
          <w:color w:val="auto"/>
          <w:sz w:val="32"/>
          <w:lang w:val="zh-CN"/>
        </w:rPr>
        <w:t>,满足老年人多样化需求</w:t>
      </w:r>
      <w:bookmarkEnd w:id="129"/>
    </w:p>
    <w:p>
      <w:pPr>
        <w:widowControl/>
        <w:spacing w:line="560" w:lineRule="exact"/>
        <w:ind w:firstLine="643" w:firstLineChars="200"/>
        <w:jc w:val="left"/>
        <w:rPr>
          <w:rFonts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1、大力发展养老服务业。</w:t>
      </w:r>
      <w:r>
        <w:rPr>
          <w:rFonts w:hint="eastAsia" w:ascii="仿宋_GB2312" w:hAnsi="仿宋" w:eastAsia="仿宋_GB2312" w:cs="宋体"/>
          <w:color w:val="auto"/>
          <w:kern w:val="0"/>
          <w:sz w:val="32"/>
          <w:szCs w:val="32"/>
        </w:rPr>
        <w:t>按照集中、集聚、集约发展的要求，以吴桥健康产业集聚区为重点，打造若干主导产业突出、产业链条完整、服务功能完善的养老服务业集聚区。结合全区“退二进三”工作，鼓励各类厂房、仓库等空间载体发展养老服务业。加大对现有养老服务机构的扶持力度，鼓励其提档升级，培育若干养老服务业领域的龙头企业和服务品牌。结合鹿城居家养老服务特色，鼓励发展家院互融型的养老服务机构，进一步完善居家养老服务网络。依托鹿城藤桥、山福等乡镇生态资源优势，大力发展休闲养生养老服务，推动老年旅游业加快发展。依托温州国际会展中心，积极举办区域性大型老年用品和服务博览会。</w:t>
      </w:r>
    </w:p>
    <w:p>
      <w:pPr>
        <w:widowControl/>
        <w:spacing w:line="560" w:lineRule="exact"/>
        <w:ind w:firstLine="643" w:firstLineChars="200"/>
        <w:jc w:val="left"/>
        <w:rPr>
          <w:rFonts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2、积极发展老年用品制造业。</w:t>
      </w:r>
      <w:r>
        <w:rPr>
          <w:rFonts w:hint="eastAsia" w:ascii="仿宋_GB2312" w:hAnsi="仿宋" w:eastAsia="仿宋_GB2312" w:cs="宋体"/>
          <w:color w:val="auto"/>
          <w:kern w:val="0"/>
          <w:sz w:val="32"/>
          <w:szCs w:val="32"/>
        </w:rPr>
        <w:t>充分发挥鹿城轻工产业发达优势，以鹿城轻工园区、中国鞋都等产业平台为载体，培育老年用品用具、康复器具、老年鞋服等产品制造基地，推动鹿城现有产业与养老产业的“融合发展”。依托企业研究院、高新技术企业研发中心等科研服务载体，对接中国老龄科研中心等国内外知名老龄用品研发机构，引进老年用品生产、制造技术和研发体系，支持鹿城企业大力研发生产符合现代老年人养老需求的老用用品。</w:t>
      </w:r>
    </w:p>
    <w:p>
      <w:pPr>
        <w:widowControl/>
        <w:spacing w:line="560" w:lineRule="exact"/>
        <w:ind w:firstLine="643" w:firstLineChars="200"/>
        <w:jc w:val="left"/>
        <w:rPr>
          <w:rFonts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3、鼓励老年金融产品创新。</w:t>
      </w:r>
      <w:r>
        <w:rPr>
          <w:rFonts w:hint="eastAsia" w:ascii="仿宋_GB2312" w:hAnsi="仿宋" w:eastAsia="仿宋_GB2312" w:cs="宋体"/>
          <w:color w:val="auto"/>
          <w:kern w:val="0"/>
          <w:sz w:val="32"/>
          <w:szCs w:val="32"/>
        </w:rPr>
        <w:t>充分发挥温州作为国家金融综合改革试验区的优势，加大老年金融领域创新力度，加强老龄金融意识普及，推动金融资源向养老服务领域配置和倾斜，鼓励银行、证券、保险、基金等各类金融机构开展养老领域金融业务，引导金融机构开发适合老年人的理财、信贷、保险等老龄金融产品。</w:t>
      </w:r>
    </w:p>
    <w:p>
      <w:pPr>
        <w:widowControl/>
        <w:spacing w:line="560" w:lineRule="exact"/>
        <w:ind w:firstLine="643" w:firstLineChars="200"/>
        <w:jc w:val="left"/>
        <w:rPr>
          <w:rFonts w:ascii="仿宋_GB2312" w:hAnsi="仿宋" w:eastAsia="仿宋_GB2312" w:cs="宋体"/>
          <w:color w:val="auto"/>
          <w:kern w:val="0"/>
          <w:sz w:val="32"/>
          <w:szCs w:val="32"/>
        </w:rPr>
        <w:sectPr>
          <w:pgSz w:w="11906" w:h="16838"/>
          <w:pgMar w:top="1474" w:right="1803" w:bottom="1587" w:left="1803" w:header="851" w:footer="992" w:gutter="0"/>
          <w:cols w:space="0" w:num="1"/>
          <w:docGrid w:type="lines" w:linePitch="312" w:charSpace="0"/>
        </w:sectPr>
      </w:pPr>
      <w:r>
        <w:rPr>
          <w:rFonts w:hint="eastAsia" w:ascii="仿宋_GB2312" w:hAnsi="仿宋" w:eastAsia="仿宋_GB2312" w:cs="宋体"/>
          <w:b/>
          <w:bCs/>
          <w:color w:val="auto"/>
          <w:kern w:val="0"/>
          <w:sz w:val="32"/>
          <w:szCs w:val="32"/>
        </w:rPr>
        <w:t>4、大力发展养老地产业。</w:t>
      </w:r>
      <w:r>
        <w:rPr>
          <w:rFonts w:hint="eastAsia" w:ascii="仿宋_GB2312" w:hAnsi="仿宋" w:eastAsia="仿宋_GB2312" w:cs="宋体"/>
          <w:color w:val="auto"/>
          <w:kern w:val="0"/>
          <w:sz w:val="32"/>
          <w:szCs w:val="32"/>
        </w:rPr>
        <w:t>结合七都岛、林里山坡地开发，积极引进国内外有实力的房地产开发商，大力开发养老地产项目。鼓励国内外保险公司来鹿城投资建设大型养老社区项目。依托海峡两岸（温州）民营经济创新发展示范区，加强与台湾养老机构的合作，积极谋划在鹿城布局养老地产项目。</w:t>
      </w:r>
    </w:p>
    <w:bookmarkEnd w:id="113"/>
    <w:bookmarkEnd w:id="114"/>
    <w:p>
      <w:pPr>
        <w:pStyle w:val="2"/>
        <w:rPr>
          <w:color w:val="auto"/>
        </w:rPr>
      </w:pPr>
      <w:bookmarkStart w:id="130" w:name="_Toc468224846"/>
      <w:bookmarkStart w:id="131" w:name="_Toc23362"/>
      <w:bookmarkStart w:id="132" w:name="_Toc445976913"/>
      <w:bookmarkStart w:id="133" w:name="_Toc6760"/>
      <w:r>
        <w:rPr>
          <w:rFonts w:hint="eastAsia"/>
          <w:color w:val="auto"/>
        </w:rPr>
        <w:t>第四章 保障措施</w:t>
      </w:r>
      <w:bookmarkEnd w:id="130"/>
      <w:bookmarkEnd w:id="131"/>
      <w:bookmarkEnd w:id="132"/>
      <w:bookmarkEnd w:id="133"/>
    </w:p>
    <w:p>
      <w:pPr>
        <w:pStyle w:val="3"/>
        <w:spacing w:line="416" w:lineRule="auto"/>
        <w:ind w:firstLine="643" w:firstLineChars="200"/>
        <w:rPr>
          <w:color w:val="auto"/>
          <w:lang w:val="zh-CN"/>
        </w:rPr>
      </w:pPr>
      <w:bookmarkStart w:id="134" w:name="_Toc445976914"/>
      <w:bookmarkStart w:id="135" w:name="_Toc29793"/>
      <w:bookmarkStart w:id="136" w:name="_Toc15819"/>
      <w:bookmarkStart w:id="137" w:name="_Toc468224847"/>
      <w:r>
        <w:rPr>
          <w:rFonts w:hint="eastAsia"/>
          <w:color w:val="auto"/>
          <w:lang w:val="zh-CN"/>
        </w:rPr>
        <w:t>一、加强组织领导</w:t>
      </w:r>
      <w:bookmarkEnd w:id="134"/>
      <w:bookmarkEnd w:id="135"/>
      <w:bookmarkEnd w:id="136"/>
      <w:bookmarkEnd w:id="137"/>
    </w:p>
    <w:p>
      <w:pPr>
        <w:autoSpaceDE w:val="0"/>
        <w:autoSpaceDN w:val="0"/>
        <w:adjustRightInd w:val="0"/>
        <w:spacing w:line="520" w:lineRule="atLeast"/>
        <w:ind w:firstLine="640" w:firstLineChars="200"/>
        <w:rPr>
          <w:rFonts w:ascii="仿宋_GB2312" w:hAnsi="宋体" w:eastAsia="仿宋_GB2312" w:cs="宋体"/>
          <w:color w:val="auto"/>
          <w:kern w:val="0"/>
          <w:sz w:val="32"/>
          <w:szCs w:val="28"/>
          <w:lang w:val="zh-CN"/>
        </w:rPr>
      </w:pPr>
      <w:r>
        <w:rPr>
          <w:rFonts w:hint="eastAsia" w:ascii="仿宋_GB2312" w:hAnsi="宋体" w:eastAsia="仿宋_GB2312" w:cs="宋体"/>
          <w:color w:val="auto"/>
          <w:kern w:val="0"/>
          <w:sz w:val="32"/>
          <w:szCs w:val="28"/>
          <w:lang w:val="zh-CN"/>
        </w:rPr>
        <w:t>高度重视老龄问题，切实加强对老龄工作的领导，将老龄事业纳入鹿城区国民经济和社会发展规划，并制定老龄事业发展年度计划。进一步健全党委领导、政府负责、社会参与、全民关怀、老年人自立自强的大老龄工作格局，充分发挥全区老龄工作委员会成员单位的积极性，统筹推进社保、医疗、教育、体育、文化、民政等老龄事业各领域、各方面协调发展。强化区老龄办的组织、协调、指导、督促的职能，突出重点、发挥优势、补足短板，共同推进老龄事业发展规划目标任务圆满完成。</w:t>
      </w:r>
    </w:p>
    <w:p>
      <w:pPr>
        <w:pStyle w:val="3"/>
        <w:spacing w:line="416" w:lineRule="auto"/>
        <w:ind w:firstLine="643" w:firstLineChars="200"/>
        <w:rPr>
          <w:color w:val="auto"/>
          <w:lang w:val="zh-CN"/>
        </w:rPr>
      </w:pPr>
      <w:bookmarkStart w:id="138" w:name="_Toc445976915"/>
      <w:bookmarkStart w:id="139" w:name="_Toc4614"/>
      <w:bookmarkStart w:id="140" w:name="_Toc20903"/>
      <w:bookmarkStart w:id="141" w:name="_Toc468224848"/>
      <w:r>
        <w:rPr>
          <w:rFonts w:hint="eastAsia"/>
          <w:color w:val="auto"/>
          <w:lang w:val="zh-CN"/>
        </w:rPr>
        <w:t>二、确保经费投入</w:t>
      </w:r>
      <w:bookmarkEnd w:id="138"/>
      <w:bookmarkEnd w:id="139"/>
      <w:bookmarkEnd w:id="140"/>
      <w:bookmarkEnd w:id="141"/>
    </w:p>
    <w:p>
      <w:pPr>
        <w:autoSpaceDE w:val="0"/>
        <w:autoSpaceDN w:val="0"/>
        <w:adjustRightInd w:val="0"/>
        <w:spacing w:line="520" w:lineRule="atLeast"/>
        <w:ind w:firstLine="640" w:firstLineChars="200"/>
        <w:rPr>
          <w:rFonts w:ascii="仿宋_GB2312" w:hAnsi="宋体" w:eastAsia="仿宋_GB2312" w:cs="宋体"/>
          <w:color w:val="auto"/>
          <w:kern w:val="0"/>
          <w:sz w:val="32"/>
          <w:szCs w:val="28"/>
          <w:lang w:val="zh-CN"/>
        </w:rPr>
      </w:pPr>
      <w:r>
        <w:rPr>
          <w:rFonts w:hint="eastAsia" w:ascii="仿宋_GB2312" w:hAnsi="宋体" w:eastAsia="仿宋_GB2312" w:cs="宋体"/>
          <w:color w:val="auto"/>
          <w:kern w:val="0"/>
          <w:sz w:val="32"/>
          <w:szCs w:val="28"/>
          <w:lang w:val="zh-CN"/>
        </w:rPr>
        <w:t>将老龄事业作为重要民生工程，老龄事业经费列入财政预算，确保老龄事业发展需要。鼓励社会各方面投入老龄事业，引导社会资金、境外资本、慈善捐助等投入老龄事业，鼓励社会资本通过公建民营等方式进入养老服务业，鼓励老年人投资养老、扩大消费，形成“政府+社会+个人”的多元化经费投入机制。优化政府养老领域财政支出结构，重点加大医养融合服务系统、智慧养老服务系统建设，引导社会资本进入养老服务领域，提高财政资金使用效率。</w:t>
      </w:r>
    </w:p>
    <w:p>
      <w:pPr>
        <w:pStyle w:val="3"/>
        <w:spacing w:line="416" w:lineRule="auto"/>
        <w:ind w:firstLine="643" w:firstLineChars="200"/>
        <w:rPr>
          <w:color w:val="auto"/>
          <w:lang w:val="zh-CN"/>
        </w:rPr>
      </w:pPr>
      <w:bookmarkStart w:id="142" w:name="_Toc468224849"/>
      <w:bookmarkStart w:id="143" w:name="_Toc24512"/>
      <w:bookmarkStart w:id="144" w:name="_Toc445976916"/>
      <w:bookmarkStart w:id="145" w:name="_Toc14389"/>
      <w:r>
        <w:rPr>
          <w:rFonts w:hint="eastAsia"/>
          <w:color w:val="auto"/>
          <w:lang w:val="zh-CN"/>
        </w:rPr>
        <w:t>三、强化队伍</w:t>
      </w:r>
      <w:bookmarkEnd w:id="142"/>
      <w:bookmarkEnd w:id="143"/>
      <w:bookmarkEnd w:id="144"/>
      <w:bookmarkEnd w:id="145"/>
      <w:r>
        <w:rPr>
          <w:rFonts w:hint="eastAsia"/>
          <w:color w:val="auto"/>
          <w:lang w:val="zh-CN"/>
        </w:rPr>
        <w:t>建设</w:t>
      </w:r>
    </w:p>
    <w:p>
      <w:pPr>
        <w:autoSpaceDE w:val="0"/>
        <w:autoSpaceDN w:val="0"/>
        <w:adjustRightInd w:val="0"/>
        <w:spacing w:line="520" w:lineRule="atLeast"/>
        <w:ind w:firstLine="640" w:firstLineChars="200"/>
        <w:rPr>
          <w:rFonts w:ascii="仿宋_GB2312" w:hAnsi="宋体" w:eastAsia="仿宋_GB2312" w:cs="宋体"/>
          <w:color w:val="auto"/>
          <w:kern w:val="0"/>
          <w:sz w:val="32"/>
          <w:szCs w:val="28"/>
          <w:lang w:val="zh-CN"/>
        </w:rPr>
      </w:pPr>
      <w:r>
        <w:rPr>
          <w:rFonts w:hint="eastAsia" w:ascii="仿宋_GB2312" w:hAnsi="宋体" w:eastAsia="仿宋_GB2312" w:cs="宋体"/>
          <w:color w:val="auto"/>
          <w:kern w:val="0"/>
          <w:sz w:val="32"/>
          <w:szCs w:val="28"/>
          <w:lang w:val="zh-CN"/>
        </w:rPr>
        <w:t>强化专职老龄工作队伍、专业社会工作者队伍、为老服务志愿者队伍等三支队伍建设，在福利待遇、队伍培训、政策经费上给予倾斜。加强区老龄办及基层老龄工作组织建设，在机构建设、人员编制、办公条件、工作经费上给予切实保障。加强护理人员队伍建设，养老护理人员应当接受专业技能培训，经考核合格后持证上岗；从事医疗、康复、社会工作等养老服务的专业技术人员，应当持有关部门颁发的专业技术等级证书上岗；</w:t>
      </w:r>
      <w:r>
        <w:rPr>
          <w:rFonts w:ascii="仿宋_GB2312" w:hAnsi="宋体" w:eastAsia="仿宋_GB2312" w:cs="宋体"/>
          <w:color w:val="auto"/>
          <w:kern w:val="0"/>
          <w:sz w:val="32"/>
          <w:szCs w:val="28"/>
          <w:lang w:val="zh-CN"/>
        </w:rPr>
        <w:t>鼓励</w:t>
      </w:r>
      <w:r>
        <w:rPr>
          <w:rFonts w:hint="eastAsia" w:ascii="仿宋_GB2312" w:hAnsi="宋体" w:eastAsia="仿宋_GB2312" w:cs="宋体"/>
          <w:color w:val="auto"/>
          <w:kern w:val="0"/>
          <w:sz w:val="32"/>
          <w:szCs w:val="28"/>
          <w:lang w:val="zh-CN"/>
        </w:rPr>
        <w:t>全区</w:t>
      </w:r>
      <w:r>
        <w:rPr>
          <w:rFonts w:ascii="仿宋_GB2312" w:hAnsi="宋体" w:eastAsia="仿宋_GB2312" w:cs="宋体"/>
          <w:color w:val="auto"/>
          <w:kern w:val="0"/>
          <w:sz w:val="32"/>
          <w:szCs w:val="28"/>
          <w:lang w:val="zh-CN"/>
        </w:rPr>
        <w:t>民营养老机构</w:t>
      </w:r>
      <w:r>
        <w:rPr>
          <w:rFonts w:hint="eastAsia" w:ascii="仿宋_GB2312" w:hAnsi="宋体" w:eastAsia="仿宋_GB2312" w:cs="宋体"/>
          <w:color w:val="auto"/>
          <w:kern w:val="0"/>
          <w:sz w:val="32"/>
          <w:szCs w:val="28"/>
          <w:lang w:val="zh-CN"/>
        </w:rPr>
        <w:t>积极培养一支</w:t>
      </w:r>
      <w:r>
        <w:rPr>
          <w:rFonts w:ascii="仿宋_GB2312" w:hAnsi="宋体" w:eastAsia="仿宋_GB2312" w:cs="宋体"/>
          <w:color w:val="auto"/>
          <w:kern w:val="0"/>
          <w:sz w:val="32"/>
          <w:szCs w:val="28"/>
          <w:lang w:val="zh-CN"/>
        </w:rPr>
        <w:t>连锁化、集团化、职业化</w:t>
      </w:r>
      <w:r>
        <w:rPr>
          <w:rFonts w:hint="eastAsia" w:ascii="仿宋_GB2312" w:hAnsi="宋体" w:eastAsia="仿宋_GB2312" w:cs="宋体"/>
          <w:color w:val="auto"/>
          <w:kern w:val="0"/>
          <w:sz w:val="32"/>
          <w:szCs w:val="28"/>
          <w:lang w:val="zh-CN"/>
        </w:rPr>
        <w:t>的</w:t>
      </w:r>
      <w:r>
        <w:rPr>
          <w:rFonts w:ascii="仿宋_GB2312" w:hAnsi="宋体" w:eastAsia="仿宋_GB2312" w:cs="宋体"/>
          <w:color w:val="auto"/>
          <w:kern w:val="0"/>
          <w:sz w:val="32"/>
          <w:szCs w:val="28"/>
          <w:lang w:val="zh-CN"/>
        </w:rPr>
        <w:t>高素质护理队伍</w:t>
      </w:r>
      <w:r>
        <w:rPr>
          <w:rFonts w:hint="eastAsia" w:ascii="仿宋_GB2312" w:hAnsi="宋体" w:eastAsia="仿宋_GB2312" w:cs="宋体"/>
          <w:color w:val="auto"/>
          <w:kern w:val="0"/>
          <w:sz w:val="32"/>
          <w:szCs w:val="28"/>
          <w:lang w:val="zh-CN"/>
        </w:rPr>
        <w:t>。将护理人员教育作为全区职业教育的重点，鼓励与各在温高职院校开展人才培养合作。鼓励老龄事业和产业从业人员参与继续教育，落实老年学专业人才培养的优惠政策，进一步夯实老龄事业发展的人才保障。加大医养融合的人才保障力度，争取进一步增加社区医疗服务中心人员编制，增强社区卫生服务系统对居家健康养老的服务能力。建立扶持政策，引导、支持老年专业社会组织、老年志愿者组织等开展公益性社会服务活动。</w:t>
      </w:r>
    </w:p>
    <w:p>
      <w:pPr>
        <w:pStyle w:val="3"/>
        <w:spacing w:line="416" w:lineRule="auto"/>
        <w:ind w:firstLine="643" w:firstLineChars="200"/>
        <w:rPr>
          <w:color w:val="auto"/>
          <w:lang w:val="zh-CN"/>
        </w:rPr>
      </w:pPr>
      <w:bookmarkStart w:id="146" w:name="_Toc2452"/>
      <w:bookmarkStart w:id="147" w:name="_Toc445976917"/>
      <w:bookmarkStart w:id="148" w:name="_Toc468224850"/>
      <w:bookmarkStart w:id="149" w:name="_Toc7550"/>
      <w:r>
        <w:rPr>
          <w:rFonts w:hint="eastAsia"/>
          <w:color w:val="auto"/>
          <w:lang w:val="zh-CN"/>
        </w:rPr>
        <w:t>四、营造良好氛围</w:t>
      </w:r>
      <w:bookmarkEnd w:id="146"/>
      <w:bookmarkEnd w:id="147"/>
      <w:bookmarkEnd w:id="148"/>
      <w:bookmarkEnd w:id="149"/>
    </w:p>
    <w:p>
      <w:pPr>
        <w:autoSpaceDE w:val="0"/>
        <w:autoSpaceDN w:val="0"/>
        <w:adjustRightInd w:val="0"/>
        <w:spacing w:line="520" w:lineRule="atLeast"/>
        <w:ind w:firstLine="640" w:firstLineChars="200"/>
        <w:rPr>
          <w:rFonts w:ascii="仿宋_GB2312" w:hAnsi="宋体" w:eastAsia="仿宋_GB2312" w:cs="宋体"/>
          <w:color w:val="auto"/>
          <w:kern w:val="0"/>
          <w:sz w:val="32"/>
          <w:szCs w:val="28"/>
          <w:lang w:val="zh-CN"/>
        </w:rPr>
      </w:pPr>
      <w:r>
        <w:rPr>
          <w:rFonts w:hint="eastAsia" w:ascii="仿宋_GB2312" w:hAnsi="宋体" w:eastAsia="仿宋_GB2312" w:cs="宋体"/>
          <w:color w:val="auto"/>
          <w:kern w:val="0"/>
          <w:sz w:val="32"/>
          <w:szCs w:val="28"/>
          <w:lang w:val="zh-CN"/>
        </w:rPr>
        <w:t>充分发挥广播、电视、报刊、网络等各种媒体的作用，大力做好老龄化形势、老龄政策、老龄工作、老龄产业发展和社会为老服务等宣传工作，逐步形成党委政府重视、全社会关注的良好发展氛围。通过抓好“敬老文明号”等创建工作的主题宣传，进一步激发多元主体参与老龄事业发展的积极性，努力营造发展老龄事业的社会环境。</w:t>
      </w:r>
    </w:p>
    <w:p>
      <w:pPr>
        <w:pStyle w:val="3"/>
        <w:spacing w:line="416" w:lineRule="auto"/>
        <w:ind w:firstLine="643" w:firstLineChars="200"/>
        <w:rPr>
          <w:color w:val="auto"/>
          <w:lang w:val="zh-CN"/>
        </w:rPr>
      </w:pPr>
      <w:bookmarkStart w:id="150" w:name="_Toc7407"/>
      <w:bookmarkStart w:id="151" w:name="_Toc445976918"/>
      <w:bookmarkStart w:id="152" w:name="_Toc468224851"/>
      <w:bookmarkStart w:id="153" w:name="_Toc17868"/>
      <w:r>
        <w:rPr>
          <w:rFonts w:hint="eastAsia"/>
          <w:color w:val="auto"/>
          <w:lang w:val="zh-CN"/>
        </w:rPr>
        <w:t>五、开展检查评估</w:t>
      </w:r>
      <w:bookmarkEnd w:id="150"/>
      <w:bookmarkEnd w:id="151"/>
      <w:bookmarkEnd w:id="152"/>
      <w:bookmarkEnd w:id="153"/>
    </w:p>
    <w:p>
      <w:pPr>
        <w:autoSpaceDE w:val="0"/>
        <w:autoSpaceDN w:val="0"/>
        <w:adjustRightInd w:val="0"/>
        <w:spacing w:line="520" w:lineRule="atLeast"/>
        <w:ind w:firstLine="640" w:firstLineChars="200"/>
        <w:rPr>
          <w:rFonts w:hint="eastAsia" w:ascii="仿宋_GB2312" w:hAnsi="宋体" w:eastAsia="仿宋_GB2312" w:cs="宋体"/>
          <w:color w:val="auto"/>
          <w:kern w:val="0"/>
          <w:sz w:val="32"/>
          <w:szCs w:val="28"/>
          <w:lang w:val="zh-CN"/>
        </w:rPr>
      </w:pPr>
      <w:r>
        <w:rPr>
          <w:rFonts w:hint="eastAsia" w:ascii="仿宋_GB2312" w:hAnsi="宋体" w:eastAsia="仿宋_GB2312" w:cs="宋体"/>
          <w:color w:val="auto"/>
          <w:kern w:val="0"/>
          <w:sz w:val="32"/>
          <w:szCs w:val="28"/>
          <w:lang w:val="zh-CN"/>
        </w:rPr>
        <w:t>各街道（镇）、各有关部门要结合老龄事业发展实际和老龄工作职能，按照</w:t>
      </w:r>
      <w:r>
        <w:rPr>
          <w:rFonts w:ascii="仿宋_GB2312" w:hAnsi="宋体" w:eastAsia="仿宋_GB2312" w:cs="宋体"/>
          <w:color w:val="auto"/>
          <w:kern w:val="0"/>
          <w:sz w:val="32"/>
          <w:szCs w:val="28"/>
          <w:lang w:val="zh-CN"/>
        </w:rPr>
        <w:t>本规划制定年度工作计划，</w:t>
      </w:r>
      <w:r>
        <w:rPr>
          <w:rFonts w:hint="eastAsia" w:ascii="仿宋_GB2312" w:hAnsi="宋体" w:eastAsia="仿宋_GB2312" w:cs="宋体"/>
          <w:color w:val="auto"/>
          <w:kern w:val="0"/>
          <w:sz w:val="32"/>
          <w:szCs w:val="28"/>
          <w:lang w:val="zh-CN"/>
        </w:rPr>
        <w:t>按</w:t>
      </w:r>
      <w:r>
        <w:rPr>
          <w:rFonts w:ascii="仿宋_GB2312" w:hAnsi="宋体" w:eastAsia="仿宋_GB2312" w:cs="宋体"/>
          <w:color w:val="auto"/>
          <w:kern w:val="0"/>
          <w:sz w:val="32"/>
          <w:szCs w:val="28"/>
          <w:lang w:val="zh-CN"/>
        </w:rPr>
        <w:t>年度</w:t>
      </w:r>
      <w:r>
        <w:rPr>
          <w:rFonts w:hint="eastAsia" w:ascii="仿宋_GB2312" w:hAnsi="宋体" w:eastAsia="仿宋_GB2312" w:cs="宋体"/>
          <w:color w:val="auto"/>
          <w:kern w:val="0"/>
          <w:sz w:val="32"/>
          <w:szCs w:val="28"/>
          <w:lang w:val="zh-CN"/>
        </w:rPr>
        <w:t>将</w:t>
      </w:r>
      <w:r>
        <w:rPr>
          <w:rFonts w:ascii="仿宋_GB2312" w:hAnsi="宋体" w:eastAsia="仿宋_GB2312" w:cs="宋体"/>
          <w:color w:val="auto"/>
          <w:kern w:val="0"/>
          <w:sz w:val="32"/>
          <w:szCs w:val="28"/>
          <w:lang w:val="zh-CN"/>
        </w:rPr>
        <w:t>规划确定的</w:t>
      </w:r>
      <w:r>
        <w:rPr>
          <w:rFonts w:hint="eastAsia" w:ascii="仿宋_GB2312" w:hAnsi="宋体" w:eastAsia="仿宋_GB2312" w:cs="宋体"/>
          <w:color w:val="auto"/>
          <w:kern w:val="0"/>
          <w:sz w:val="32"/>
          <w:szCs w:val="28"/>
          <w:lang w:val="zh-CN"/>
        </w:rPr>
        <w:t>发展</w:t>
      </w:r>
      <w:r>
        <w:rPr>
          <w:rFonts w:ascii="仿宋_GB2312" w:hAnsi="宋体" w:eastAsia="仿宋_GB2312" w:cs="宋体"/>
          <w:color w:val="auto"/>
          <w:kern w:val="0"/>
          <w:sz w:val="32"/>
          <w:szCs w:val="28"/>
          <w:lang w:val="zh-CN"/>
        </w:rPr>
        <w:t>目标和重点</w:t>
      </w:r>
      <w:r>
        <w:rPr>
          <w:rFonts w:hint="eastAsia" w:ascii="仿宋_GB2312" w:hAnsi="宋体" w:eastAsia="仿宋_GB2312" w:cs="宋体"/>
          <w:color w:val="auto"/>
          <w:kern w:val="0"/>
          <w:sz w:val="32"/>
          <w:szCs w:val="28"/>
          <w:lang w:val="zh-CN"/>
        </w:rPr>
        <w:t>任务分解</w:t>
      </w:r>
      <w:r>
        <w:rPr>
          <w:rFonts w:ascii="仿宋_GB2312" w:hAnsi="宋体" w:eastAsia="仿宋_GB2312" w:cs="宋体"/>
          <w:color w:val="auto"/>
          <w:kern w:val="0"/>
          <w:sz w:val="32"/>
          <w:szCs w:val="28"/>
          <w:lang w:val="zh-CN"/>
        </w:rPr>
        <w:t>到各相关部门</w:t>
      </w:r>
      <w:r>
        <w:rPr>
          <w:rFonts w:hint="eastAsia" w:ascii="仿宋_GB2312" w:hAnsi="宋体" w:eastAsia="仿宋_GB2312" w:cs="宋体"/>
          <w:color w:val="auto"/>
          <w:kern w:val="0"/>
          <w:sz w:val="32"/>
          <w:szCs w:val="28"/>
          <w:lang w:val="zh-CN"/>
        </w:rPr>
        <w:t>。建立健全老龄工作评估指标体系，定期开展自查和监督检查，切实做好老龄事业相关统计工作。区老龄办要会同有关部门对规划实施情况进行中期和期末检查评估，建立规划实施绩效评估和第三方评估机制，及时报送和发布规划执行情况评估报告。</w:t>
      </w:r>
    </w:p>
    <w:p>
      <w:pPr>
        <w:autoSpaceDE w:val="0"/>
        <w:autoSpaceDN w:val="0"/>
        <w:adjustRightInd w:val="0"/>
        <w:spacing w:line="520" w:lineRule="atLeast"/>
        <w:ind w:firstLine="640" w:firstLineChars="200"/>
        <w:rPr>
          <w:rFonts w:hint="eastAsia" w:ascii="仿宋_GB2312" w:hAnsi="宋体" w:eastAsia="仿宋_GB2312" w:cs="宋体"/>
          <w:color w:val="auto"/>
          <w:kern w:val="0"/>
          <w:sz w:val="32"/>
          <w:szCs w:val="28"/>
          <w:lang w:val="zh-CN"/>
        </w:rPr>
      </w:pPr>
    </w:p>
    <w:p>
      <w:pPr>
        <w:autoSpaceDE w:val="0"/>
        <w:autoSpaceDN w:val="0"/>
        <w:adjustRightInd w:val="0"/>
        <w:spacing w:line="520" w:lineRule="atLeast"/>
        <w:ind w:firstLine="640" w:firstLineChars="200"/>
        <w:rPr>
          <w:rFonts w:hint="eastAsia" w:ascii="仿宋_GB2312" w:hAnsi="宋体" w:eastAsia="仿宋_GB2312" w:cs="宋体"/>
          <w:color w:val="auto"/>
          <w:kern w:val="0"/>
          <w:sz w:val="32"/>
          <w:szCs w:val="28"/>
          <w:lang w:val="zh-CN"/>
        </w:rPr>
      </w:pPr>
    </w:p>
    <w:p>
      <w:pPr>
        <w:autoSpaceDE w:val="0"/>
        <w:autoSpaceDN w:val="0"/>
        <w:adjustRightInd w:val="0"/>
        <w:spacing w:line="520" w:lineRule="atLeast"/>
        <w:ind w:firstLine="640" w:firstLineChars="200"/>
        <w:rPr>
          <w:rFonts w:hint="eastAsia" w:ascii="仿宋_GB2312" w:hAnsi="宋体" w:eastAsia="仿宋_GB2312" w:cs="宋体"/>
          <w:color w:val="auto"/>
          <w:kern w:val="0"/>
          <w:sz w:val="32"/>
          <w:szCs w:val="28"/>
          <w:lang w:val="zh-CN"/>
        </w:rPr>
      </w:pPr>
    </w:p>
    <w:p>
      <w:pPr>
        <w:autoSpaceDE w:val="0"/>
        <w:autoSpaceDN w:val="0"/>
        <w:adjustRightInd w:val="0"/>
        <w:spacing w:line="520" w:lineRule="atLeast"/>
        <w:ind w:firstLine="640" w:firstLineChars="200"/>
        <w:rPr>
          <w:rFonts w:hint="eastAsia" w:ascii="仿宋_GB2312" w:hAnsi="宋体" w:eastAsia="仿宋_GB2312" w:cs="宋体"/>
          <w:color w:val="auto"/>
          <w:kern w:val="0"/>
          <w:sz w:val="32"/>
          <w:szCs w:val="28"/>
          <w:lang w:val="zh-CN"/>
        </w:rPr>
      </w:pPr>
    </w:p>
    <w:p>
      <w:pPr>
        <w:pStyle w:val="2"/>
        <w:jc w:val="left"/>
        <w:rPr>
          <w:rFonts w:hint="eastAsia"/>
          <w:color w:val="auto"/>
        </w:rPr>
        <w:sectPr>
          <w:pgSz w:w="11906" w:h="16838"/>
          <w:pgMar w:top="1474" w:right="1803" w:bottom="1587" w:left="1803" w:header="851" w:footer="992" w:gutter="0"/>
          <w:cols w:space="0" w:num="1"/>
          <w:docGrid w:type="lines" w:linePitch="319" w:charSpace="0"/>
        </w:sectPr>
      </w:pPr>
      <w:bookmarkStart w:id="154" w:name="_Toc470"/>
      <w:bookmarkStart w:id="155" w:name="_Toc468224852"/>
    </w:p>
    <w:p>
      <w:pPr>
        <w:pStyle w:val="2"/>
        <w:jc w:val="left"/>
        <w:rPr>
          <w:color w:val="auto"/>
        </w:rPr>
      </w:pPr>
      <w:r>
        <w:rPr>
          <w:rFonts w:hint="eastAsia"/>
          <w:color w:val="auto"/>
        </w:rPr>
        <w:t>附：鹿城区老龄事业发展“十三五”规划重点项目一览表</w:t>
      </w:r>
      <w:bookmarkEnd w:id="154"/>
      <w:bookmarkEnd w:id="155"/>
    </w:p>
    <w:tbl>
      <w:tblPr>
        <w:tblStyle w:val="20"/>
        <w:tblW w:w="13660"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59"/>
        <w:gridCol w:w="1716"/>
        <w:gridCol w:w="971"/>
        <w:gridCol w:w="743"/>
        <w:gridCol w:w="4289"/>
        <w:gridCol w:w="1776"/>
        <w:gridCol w:w="1422"/>
        <w:gridCol w:w="198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序号</w:t>
            </w:r>
          </w:p>
        </w:tc>
        <w:tc>
          <w:tcPr>
            <w:tcW w:w="1716" w:type="dxa"/>
            <w:tcBorders>
              <w:top w:val="single" w:color="000000" w:sz="8" w:space="0"/>
              <w:bottom w:val="single" w:color="000000" w:sz="8" w:space="0"/>
            </w:tcBorders>
            <w:shd w:val="clear" w:color="auto" w:fill="FFFFFF"/>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项目名称</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建设</w:t>
            </w:r>
          </w:p>
          <w:p>
            <w:pPr>
              <w:widowControl/>
              <w:jc w:val="center"/>
              <w:rPr>
                <w:rFonts w:ascii="宋体" w:hAnsi="宋体" w:cs="宋体"/>
                <w:b/>
                <w:bCs/>
                <w:color w:val="auto"/>
                <w:kern w:val="0"/>
                <w:sz w:val="24"/>
              </w:rPr>
            </w:pPr>
            <w:r>
              <w:rPr>
                <w:rFonts w:hint="eastAsia" w:ascii="宋体" w:hAnsi="宋体" w:cs="宋体"/>
                <w:b/>
                <w:bCs/>
                <w:color w:val="auto"/>
                <w:kern w:val="0"/>
                <w:sz w:val="24"/>
              </w:rPr>
              <w:t>地点</w:t>
            </w:r>
          </w:p>
        </w:tc>
        <w:tc>
          <w:tcPr>
            <w:tcW w:w="743" w:type="dxa"/>
            <w:tcBorders>
              <w:top w:val="single" w:color="000000" w:sz="8" w:space="0"/>
              <w:bottom w:val="single" w:color="000000" w:sz="8" w:space="0"/>
            </w:tcBorders>
            <w:shd w:val="clear" w:color="auto" w:fill="FFFFFF"/>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建设</w:t>
            </w:r>
          </w:p>
          <w:p>
            <w:pPr>
              <w:widowControl/>
              <w:jc w:val="center"/>
              <w:rPr>
                <w:rFonts w:ascii="宋体" w:hAnsi="宋体" w:cs="宋体"/>
                <w:b/>
                <w:bCs/>
                <w:color w:val="auto"/>
                <w:kern w:val="0"/>
                <w:sz w:val="24"/>
              </w:rPr>
            </w:pPr>
            <w:r>
              <w:rPr>
                <w:rFonts w:hint="eastAsia" w:ascii="宋体" w:hAnsi="宋体" w:cs="宋体"/>
                <w:b/>
                <w:bCs/>
                <w:color w:val="auto"/>
                <w:kern w:val="0"/>
                <w:sz w:val="24"/>
              </w:rPr>
              <w:t>性质</w:t>
            </w:r>
          </w:p>
        </w:tc>
        <w:tc>
          <w:tcPr>
            <w:tcW w:w="4289"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建设内容和规模</w:t>
            </w:r>
          </w:p>
        </w:tc>
        <w:tc>
          <w:tcPr>
            <w:tcW w:w="1776" w:type="dxa"/>
            <w:tcBorders>
              <w:top w:val="single" w:color="000000" w:sz="8" w:space="0"/>
              <w:left w:val="single" w:color="auto" w:sz="4" w:space="0"/>
              <w:bottom w:val="single" w:color="000000" w:sz="8" w:space="0"/>
              <w:right w:val="single" w:color="auto" w:sz="4" w:space="0"/>
            </w:tcBorders>
            <w:shd w:val="clear" w:color="auto" w:fill="FFFFFF"/>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建设</w:t>
            </w:r>
          </w:p>
          <w:p>
            <w:pPr>
              <w:widowControl/>
              <w:jc w:val="center"/>
              <w:rPr>
                <w:rFonts w:ascii="宋体" w:hAnsi="宋体" w:cs="宋体"/>
                <w:b/>
                <w:bCs/>
                <w:color w:val="auto"/>
                <w:kern w:val="0"/>
                <w:sz w:val="24"/>
              </w:rPr>
            </w:pPr>
            <w:r>
              <w:rPr>
                <w:rFonts w:hint="eastAsia" w:ascii="宋体" w:hAnsi="宋体" w:cs="宋体"/>
                <w:b/>
                <w:bCs/>
                <w:color w:val="auto"/>
                <w:kern w:val="0"/>
                <w:sz w:val="24"/>
              </w:rPr>
              <w:t>期限</w:t>
            </w:r>
          </w:p>
        </w:tc>
        <w:tc>
          <w:tcPr>
            <w:tcW w:w="1422" w:type="dxa"/>
            <w:tcBorders>
              <w:top w:val="single" w:color="000000" w:sz="8" w:space="0"/>
              <w:left w:val="single" w:color="auto" w:sz="4" w:space="0"/>
              <w:bottom w:val="single" w:color="000000" w:sz="8" w:space="0"/>
              <w:right w:val="single" w:color="auto" w:sz="4" w:space="0"/>
            </w:tcBorders>
            <w:shd w:val="clear" w:color="auto" w:fill="FFFFFF"/>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项目总投资</w:t>
            </w:r>
            <w:r>
              <w:rPr>
                <w:rFonts w:hint="eastAsia" w:ascii="宋体" w:hAnsi="宋体" w:cs="宋体"/>
                <w:b/>
                <w:bCs/>
                <w:color w:val="auto"/>
                <w:kern w:val="0"/>
                <w:sz w:val="18"/>
                <w:szCs w:val="18"/>
              </w:rPr>
              <w:t>（单位：亿元）</w:t>
            </w:r>
          </w:p>
        </w:tc>
        <w:tc>
          <w:tcPr>
            <w:tcW w:w="1984" w:type="dxa"/>
            <w:tcBorders>
              <w:top w:val="single" w:color="000000" w:sz="8" w:space="0"/>
              <w:left w:val="single" w:color="auto" w:sz="4" w:space="0"/>
              <w:bottom w:val="single" w:color="000000" w:sz="8" w:space="0"/>
            </w:tcBorders>
            <w:shd w:val="clear" w:color="auto" w:fill="FFFFFF"/>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责任单位</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660" w:type="dxa"/>
            <w:gridSpan w:val="8"/>
            <w:tcBorders>
              <w:top w:val="single" w:color="000000" w:sz="8" w:space="0"/>
              <w:bottom w:val="single" w:color="000000" w:sz="8" w:space="0"/>
            </w:tcBorders>
            <w:shd w:val="clear" w:color="auto" w:fill="FFFFFF"/>
            <w:vAlign w:val="center"/>
          </w:tcPr>
          <w:p>
            <w:pPr>
              <w:widowControl/>
              <w:rPr>
                <w:rFonts w:ascii="宋体" w:hAnsi="宋体" w:cs="宋体"/>
                <w:b/>
                <w:bCs/>
                <w:color w:val="auto"/>
                <w:kern w:val="0"/>
                <w:sz w:val="24"/>
              </w:rPr>
            </w:pPr>
            <w:r>
              <w:rPr>
                <w:rFonts w:hint="eastAsia" w:ascii="宋体" w:hAnsi="宋体" w:cs="宋体"/>
                <w:b/>
                <w:bCs/>
                <w:color w:val="auto"/>
                <w:kern w:val="0"/>
                <w:sz w:val="24"/>
              </w:rPr>
              <w:t>鹿城重点建设项目</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1716"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鹿城养生养老项目</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鹿城区</w:t>
            </w:r>
          </w:p>
        </w:tc>
        <w:tc>
          <w:tcPr>
            <w:tcW w:w="743"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新建</w:t>
            </w:r>
          </w:p>
        </w:tc>
        <w:tc>
          <w:tcPr>
            <w:tcW w:w="4289" w:type="dxa"/>
            <w:tcBorders>
              <w:top w:val="single" w:color="000000" w:sz="8" w:space="0"/>
              <w:left w:val="single" w:color="000000" w:sz="8" w:space="0"/>
              <w:bottom w:val="single" w:color="000000" w:sz="8" w:space="0"/>
              <w:right w:val="single" w:color="auto" w:sz="4"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lang w:eastAsia="zh-CN"/>
              </w:rPr>
              <w:t>旭阳</w:t>
            </w:r>
            <w:r>
              <w:rPr>
                <w:rFonts w:hint="eastAsia" w:ascii="宋体" w:hAnsi="宋体" w:cs="宋体"/>
                <w:color w:val="auto"/>
                <w:sz w:val="24"/>
              </w:rPr>
              <w:t>老人公寓、</w:t>
            </w:r>
            <w:r>
              <w:rPr>
                <w:rFonts w:hint="eastAsia" w:ascii="宋体" w:hAnsi="宋体" w:cs="宋体"/>
                <w:color w:val="auto"/>
                <w:sz w:val="24"/>
                <w:lang w:eastAsia="zh-CN"/>
              </w:rPr>
              <w:t>仰义</w:t>
            </w:r>
            <w:r>
              <w:rPr>
                <w:rFonts w:hint="eastAsia" w:ascii="宋体" w:hAnsi="宋体" w:cs="宋体"/>
                <w:color w:val="auto"/>
                <w:sz w:val="24"/>
              </w:rPr>
              <w:t>河岱山健康养老、社区（村）居家养老服务照料中心、养生养老健康小镇等项目，利用厂房“退二进三”改建、村集体土地开发、划拨或出让土地招商引资等方式发展养生养老项目，引入社会力量，发展养老机构。</w:t>
            </w:r>
          </w:p>
        </w:tc>
        <w:tc>
          <w:tcPr>
            <w:tcW w:w="1776"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300" w:lineRule="exact"/>
              <w:jc w:val="center"/>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年</w:t>
            </w:r>
            <w:r>
              <w:rPr>
                <w:rFonts w:ascii="宋体" w:hAnsi="宋体" w:cs="宋体"/>
                <w:color w:val="auto"/>
                <w:sz w:val="24"/>
              </w:rPr>
              <w:t xml:space="preserve"> (2016-2020)</w:t>
            </w:r>
          </w:p>
        </w:tc>
        <w:tc>
          <w:tcPr>
            <w:tcW w:w="1422"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147.70</w:t>
            </w:r>
          </w:p>
        </w:tc>
        <w:tc>
          <w:tcPr>
            <w:tcW w:w="1984" w:type="dxa"/>
            <w:tcBorders>
              <w:top w:val="single" w:color="000000" w:sz="8" w:space="0"/>
              <w:left w:val="single" w:color="auto" w:sz="4"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鹿城区政府</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1716"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吴桥健康产业园</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鹿城区</w:t>
            </w:r>
          </w:p>
        </w:tc>
        <w:tc>
          <w:tcPr>
            <w:tcW w:w="743"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新建</w:t>
            </w:r>
          </w:p>
        </w:tc>
        <w:tc>
          <w:tcPr>
            <w:tcW w:w="4289" w:type="dxa"/>
            <w:tcBorders>
              <w:top w:val="single" w:color="000000" w:sz="8" w:space="0"/>
              <w:left w:val="single" w:color="000000" w:sz="8" w:space="0"/>
              <w:bottom w:val="single" w:color="000000" w:sz="8" w:space="0"/>
              <w:right w:val="single" w:color="auto" w:sz="4"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以吴桥工业园区北片为重点，东至104国道、西至吴桥路以西、北至汇昌河、南至划龙桥路，区域面积约667亩，现有工业企业约93家，厂房占地面积约300亩，厂房的总建筑面积约29万平方米。项目开发思路：将吴桥工业园区退二进三，发展健康产业，力争打造成省级健康服务业集聚示范区。功能分区为：健康养老、高端医疗和健康管理、健康保险、医药、配套等5大板块。</w:t>
            </w:r>
          </w:p>
        </w:tc>
        <w:tc>
          <w:tcPr>
            <w:tcW w:w="1776"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5年 (2016-2020)</w:t>
            </w:r>
          </w:p>
        </w:tc>
        <w:tc>
          <w:tcPr>
            <w:tcW w:w="1422"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20.00</w:t>
            </w:r>
          </w:p>
        </w:tc>
        <w:tc>
          <w:tcPr>
            <w:tcW w:w="1984" w:type="dxa"/>
            <w:tcBorders>
              <w:top w:val="single" w:color="000000" w:sz="8" w:space="0"/>
              <w:left w:val="single" w:color="auto" w:sz="4"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鹿城区政府</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1716"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养老机构建设</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鹿城区</w:t>
            </w:r>
          </w:p>
        </w:tc>
        <w:tc>
          <w:tcPr>
            <w:tcW w:w="743"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续建</w:t>
            </w:r>
          </w:p>
        </w:tc>
        <w:tc>
          <w:tcPr>
            <w:tcW w:w="4289" w:type="dxa"/>
            <w:tcBorders>
              <w:top w:val="single" w:color="000000" w:sz="8" w:space="0"/>
              <w:left w:val="single" w:color="000000" w:sz="8" w:space="0"/>
              <w:bottom w:val="single" w:color="000000" w:sz="8" w:space="0"/>
              <w:right w:val="single" w:color="auto" w:sz="4"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厂房“退二进三”改建项目，村集体建设项目，划拨或出让土地招商引资项目。</w:t>
            </w:r>
          </w:p>
        </w:tc>
        <w:tc>
          <w:tcPr>
            <w:tcW w:w="1776"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5年 (2016-2020）</w:t>
            </w:r>
          </w:p>
        </w:tc>
        <w:tc>
          <w:tcPr>
            <w:tcW w:w="1422"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300" w:lineRule="exact"/>
              <w:rPr>
                <w:rFonts w:ascii="宋体" w:hAnsi="宋体" w:cs="宋体"/>
                <w:color w:val="auto"/>
                <w:sz w:val="24"/>
              </w:rPr>
            </w:pPr>
          </w:p>
        </w:tc>
        <w:tc>
          <w:tcPr>
            <w:tcW w:w="1984" w:type="dxa"/>
            <w:tcBorders>
              <w:top w:val="single" w:color="000000" w:sz="8" w:space="0"/>
              <w:left w:val="single" w:color="auto" w:sz="4"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鹿城区民政局</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1716"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社区（村）居家养老服务照料中心建设</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auto"/>
              </w:rPr>
            </w:pPr>
            <w:r>
              <w:rPr>
                <w:rFonts w:hint="eastAsia"/>
                <w:color w:val="auto"/>
              </w:rPr>
              <w:t>鹿城区</w:t>
            </w:r>
          </w:p>
        </w:tc>
        <w:tc>
          <w:tcPr>
            <w:tcW w:w="743"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续建</w:t>
            </w:r>
          </w:p>
        </w:tc>
        <w:tc>
          <w:tcPr>
            <w:tcW w:w="4289" w:type="dxa"/>
            <w:tcBorders>
              <w:top w:val="single" w:color="000000" w:sz="8" w:space="0"/>
              <w:left w:val="single" w:color="000000" w:sz="8" w:space="0"/>
              <w:bottom w:val="single" w:color="000000" w:sz="8" w:space="0"/>
              <w:right w:val="single" w:color="auto" w:sz="4"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村级照料中心建设，通过整合现有资源，对集体用房、祠堂、老年活动中心、星光老年之家等公共服务设施进行改建、扩建、提升。</w:t>
            </w:r>
          </w:p>
        </w:tc>
        <w:tc>
          <w:tcPr>
            <w:tcW w:w="1776"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300" w:lineRule="exact"/>
              <w:jc w:val="center"/>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年</w:t>
            </w:r>
            <w:r>
              <w:rPr>
                <w:rFonts w:ascii="宋体" w:hAnsi="宋体" w:cs="宋体"/>
                <w:color w:val="auto"/>
                <w:sz w:val="24"/>
              </w:rPr>
              <w:t xml:space="preserve"> (2016-2020</w:t>
            </w:r>
            <w:r>
              <w:rPr>
                <w:rFonts w:hint="eastAsia" w:ascii="宋体" w:hAnsi="宋体" w:cs="宋体"/>
                <w:color w:val="auto"/>
                <w:sz w:val="24"/>
              </w:rPr>
              <w:t>）</w:t>
            </w:r>
          </w:p>
        </w:tc>
        <w:tc>
          <w:tcPr>
            <w:tcW w:w="1422"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300" w:lineRule="exact"/>
              <w:jc w:val="center"/>
              <w:rPr>
                <w:rFonts w:ascii="宋体" w:hAnsi="宋体" w:cs="宋体"/>
                <w:color w:val="auto"/>
                <w:sz w:val="24"/>
              </w:rPr>
            </w:pPr>
          </w:p>
        </w:tc>
        <w:tc>
          <w:tcPr>
            <w:tcW w:w="1984" w:type="dxa"/>
            <w:tcBorders>
              <w:top w:val="single" w:color="000000" w:sz="8" w:space="0"/>
              <w:left w:val="single" w:color="auto" w:sz="4"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鹿城区民政局</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3660" w:type="dxa"/>
            <w:gridSpan w:val="8"/>
            <w:tcBorders>
              <w:top w:val="single" w:color="auto" w:sz="4" w:space="0"/>
            </w:tcBorders>
            <w:shd w:val="clear" w:color="auto" w:fill="FFFFFF"/>
            <w:vAlign w:val="center"/>
          </w:tcPr>
          <w:p>
            <w:pPr>
              <w:spacing w:line="300" w:lineRule="exact"/>
              <w:jc w:val="left"/>
              <w:rPr>
                <w:rFonts w:ascii="宋体" w:hAnsi="宋体" w:cs="宋体"/>
                <w:b/>
                <w:color w:val="auto"/>
                <w:sz w:val="24"/>
              </w:rPr>
            </w:pPr>
            <w:r>
              <w:rPr>
                <w:rFonts w:hint="eastAsia" w:ascii="宋体" w:hAnsi="宋体" w:cs="宋体"/>
                <w:b/>
                <w:color w:val="auto"/>
                <w:sz w:val="24"/>
              </w:rPr>
              <w:t>市属落地鹿城重点项目</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1</w:t>
            </w:r>
          </w:p>
        </w:tc>
        <w:tc>
          <w:tcPr>
            <w:tcW w:w="1716"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温州生命健康科教研究中心</w:t>
            </w:r>
            <w:r>
              <w:rPr>
                <w:rFonts w:ascii="宋体" w:hAnsi="宋体" w:cs="宋体"/>
                <w:color w:val="auto"/>
                <w:sz w:val="24"/>
              </w:rPr>
              <w:t>(</w:t>
            </w:r>
            <w:r>
              <w:rPr>
                <w:rFonts w:hint="eastAsia" w:ascii="宋体" w:hAnsi="宋体" w:cs="宋体"/>
                <w:color w:val="auto"/>
                <w:sz w:val="24"/>
              </w:rPr>
              <w:t>原一医</w:t>
            </w:r>
            <w:r>
              <w:rPr>
                <w:rFonts w:ascii="宋体" w:hAnsi="宋体" w:cs="宋体"/>
                <w:color w:val="auto"/>
                <w:sz w:val="24"/>
              </w:rPr>
              <w:t>)</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鹿城区</w:t>
            </w:r>
          </w:p>
        </w:tc>
        <w:tc>
          <w:tcPr>
            <w:tcW w:w="743"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改建</w:t>
            </w:r>
          </w:p>
        </w:tc>
        <w:tc>
          <w:tcPr>
            <w:tcW w:w="42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用地约</w:t>
            </w:r>
            <w:r>
              <w:rPr>
                <w:rFonts w:ascii="宋体" w:hAnsi="宋体" w:cs="宋体"/>
                <w:color w:val="auto"/>
                <w:sz w:val="24"/>
              </w:rPr>
              <w:t>135</w:t>
            </w:r>
            <w:r>
              <w:rPr>
                <w:rFonts w:hint="eastAsia" w:ascii="宋体" w:hAnsi="宋体" w:cs="宋体"/>
                <w:color w:val="auto"/>
                <w:sz w:val="24"/>
              </w:rPr>
              <w:t>余亩（可建设用地</w:t>
            </w:r>
            <w:r>
              <w:rPr>
                <w:rFonts w:ascii="宋体" w:hAnsi="宋体" w:cs="宋体"/>
                <w:color w:val="auto"/>
                <w:sz w:val="24"/>
              </w:rPr>
              <w:t>100</w:t>
            </w:r>
            <w:r>
              <w:rPr>
                <w:rFonts w:hint="eastAsia" w:ascii="宋体" w:hAnsi="宋体" w:cs="宋体"/>
                <w:color w:val="auto"/>
                <w:sz w:val="24"/>
              </w:rPr>
              <w:t>亩），医学实验研发区、医学器械技术开发区、智慧医疗信息工程创新区、教育培训功能区，建设规模</w:t>
            </w:r>
            <w:r>
              <w:rPr>
                <w:rFonts w:ascii="宋体" w:hAnsi="宋体" w:cs="宋体"/>
                <w:color w:val="auto"/>
                <w:sz w:val="24"/>
              </w:rPr>
              <w:t>10.98</w:t>
            </w:r>
            <w:r>
              <w:rPr>
                <w:rFonts w:hint="eastAsia" w:ascii="宋体" w:hAnsi="宋体" w:cs="宋体"/>
                <w:color w:val="auto"/>
                <w:sz w:val="24"/>
              </w:rPr>
              <w:t>万平方米。</w:t>
            </w:r>
          </w:p>
        </w:tc>
        <w:tc>
          <w:tcPr>
            <w:tcW w:w="1776" w:type="dxa"/>
            <w:tcBorders>
              <w:top w:val="single" w:color="000000" w:sz="8" w:space="0"/>
              <w:bottom w:val="single" w:color="000000" w:sz="8" w:space="0"/>
              <w:right w:val="single" w:color="auto" w:sz="4" w:space="0"/>
            </w:tcBorders>
            <w:shd w:val="clear" w:color="auto" w:fill="FFFFFF"/>
            <w:vAlign w:val="center"/>
          </w:tcPr>
          <w:p>
            <w:pPr>
              <w:spacing w:line="300" w:lineRule="exact"/>
              <w:jc w:val="center"/>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年（</w:t>
            </w:r>
            <w:r>
              <w:rPr>
                <w:rFonts w:ascii="宋体" w:hAnsi="宋体" w:cs="宋体"/>
                <w:color w:val="auto"/>
                <w:sz w:val="24"/>
              </w:rPr>
              <w:t>2016-2018</w:t>
            </w:r>
            <w:r>
              <w:rPr>
                <w:rFonts w:hint="eastAsia" w:ascii="宋体" w:hAnsi="宋体" w:cs="宋体"/>
                <w:color w:val="auto"/>
                <w:sz w:val="24"/>
              </w:rPr>
              <w:t>）</w:t>
            </w:r>
          </w:p>
        </w:tc>
        <w:tc>
          <w:tcPr>
            <w:tcW w:w="1422" w:type="dxa"/>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rPr>
            </w:pPr>
            <w:r>
              <w:rPr>
                <w:rFonts w:ascii="宋体" w:hAnsi="宋体" w:cs="宋体"/>
                <w:color w:val="auto"/>
              </w:rPr>
              <w:t>10</w:t>
            </w:r>
          </w:p>
        </w:tc>
        <w:tc>
          <w:tcPr>
            <w:tcW w:w="1984"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温州医科大学</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2</w:t>
            </w:r>
          </w:p>
        </w:tc>
        <w:tc>
          <w:tcPr>
            <w:tcW w:w="1716" w:type="dxa"/>
            <w:tcBorders>
              <w:top w:val="single" w:color="000000" w:sz="8" w:space="0"/>
              <w:bottom w:val="single" w:color="000000" w:sz="8" w:space="0"/>
            </w:tcBorders>
            <w:shd w:val="clear" w:color="auto" w:fill="FFFFFF"/>
            <w:vAlign w:val="center"/>
          </w:tcPr>
          <w:p>
            <w:pPr>
              <w:rPr>
                <w:rFonts w:ascii="宋体" w:hAnsi="宋体" w:cs="宋体"/>
                <w:color w:val="auto"/>
                <w:sz w:val="24"/>
              </w:rPr>
            </w:pPr>
            <w:r>
              <w:rPr>
                <w:rFonts w:hint="eastAsia" w:cs="宋体"/>
                <w:color w:val="auto"/>
                <w:sz w:val="24"/>
              </w:rPr>
              <w:t>温州老年病医院</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auto"/>
                <w:sz w:val="24"/>
              </w:rPr>
            </w:pPr>
            <w:r>
              <w:rPr>
                <w:rFonts w:hint="eastAsia"/>
                <w:color w:val="auto"/>
                <w:sz w:val="24"/>
              </w:rPr>
              <w:t>鹿城区</w:t>
            </w:r>
          </w:p>
        </w:tc>
        <w:tc>
          <w:tcPr>
            <w:tcW w:w="743"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改建</w:t>
            </w:r>
          </w:p>
        </w:tc>
        <w:tc>
          <w:tcPr>
            <w:tcW w:w="42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auto"/>
                <w:sz w:val="24"/>
              </w:rPr>
            </w:pPr>
            <w:r>
              <w:rPr>
                <w:rFonts w:hint="eastAsia" w:cs="宋体"/>
                <w:color w:val="auto"/>
                <w:sz w:val="24"/>
              </w:rPr>
              <w:t>市中医院大士门院区，按照三甲专科医院标准设置，开放床位</w:t>
            </w:r>
            <w:r>
              <w:rPr>
                <w:rFonts w:cs="Calibri"/>
                <w:color w:val="auto"/>
                <w:sz w:val="24"/>
              </w:rPr>
              <w:t>500</w:t>
            </w:r>
            <w:r>
              <w:rPr>
                <w:rFonts w:hint="eastAsia" w:cs="宋体"/>
                <w:color w:val="auto"/>
                <w:sz w:val="24"/>
              </w:rPr>
              <w:t>张，成为浙南地区一流的老年病医院。</w:t>
            </w:r>
          </w:p>
        </w:tc>
        <w:tc>
          <w:tcPr>
            <w:tcW w:w="1776" w:type="dxa"/>
            <w:tcBorders>
              <w:top w:val="single" w:color="000000" w:sz="8" w:space="0"/>
              <w:bottom w:val="single" w:color="000000" w:sz="8" w:space="0"/>
              <w:right w:val="single" w:color="auto" w:sz="4" w:space="0"/>
            </w:tcBorders>
            <w:shd w:val="clear" w:color="auto" w:fill="FFFFFF"/>
            <w:vAlign w:val="center"/>
          </w:tcPr>
          <w:p>
            <w:pPr>
              <w:jc w:val="center"/>
              <w:rPr>
                <w:color w:val="auto"/>
                <w:sz w:val="24"/>
              </w:rPr>
            </w:pPr>
            <w:r>
              <w:rPr>
                <w:rFonts w:hint="eastAsia"/>
                <w:color w:val="auto"/>
                <w:sz w:val="24"/>
              </w:rPr>
              <w:t>3年</w:t>
            </w:r>
          </w:p>
          <w:p>
            <w:pPr>
              <w:jc w:val="center"/>
              <w:rPr>
                <w:rFonts w:ascii="宋体" w:hAnsi="宋体" w:cs="宋体"/>
                <w:color w:val="auto"/>
                <w:sz w:val="24"/>
              </w:rPr>
            </w:pPr>
            <w:r>
              <w:rPr>
                <w:rFonts w:hint="eastAsia"/>
                <w:color w:val="auto"/>
                <w:sz w:val="24"/>
              </w:rPr>
              <w:t>（2016-2018）</w:t>
            </w:r>
          </w:p>
        </w:tc>
        <w:tc>
          <w:tcPr>
            <w:tcW w:w="1422" w:type="dxa"/>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rPr>
            </w:pPr>
            <w:r>
              <w:rPr>
                <w:rFonts w:cs="Calibri"/>
                <w:color w:val="auto"/>
              </w:rPr>
              <w:t>3.5</w:t>
            </w:r>
          </w:p>
        </w:tc>
        <w:tc>
          <w:tcPr>
            <w:tcW w:w="1984"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cs="宋体"/>
                <w:color w:val="auto"/>
                <w:sz w:val="24"/>
              </w:rPr>
              <w:t>温州市卫计委</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3</w:t>
            </w:r>
          </w:p>
        </w:tc>
        <w:tc>
          <w:tcPr>
            <w:tcW w:w="1716"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佳和健康（温州）老龄产业园区</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auto"/>
                <w:sz w:val="24"/>
              </w:rPr>
            </w:pPr>
            <w:r>
              <w:rPr>
                <w:rFonts w:hint="eastAsia"/>
                <w:color w:val="auto"/>
                <w:sz w:val="24"/>
              </w:rPr>
              <w:t>鹿城区</w:t>
            </w:r>
          </w:p>
        </w:tc>
        <w:tc>
          <w:tcPr>
            <w:tcW w:w="743" w:type="dxa"/>
            <w:tcBorders>
              <w:top w:val="single" w:color="000000" w:sz="8" w:space="0"/>
              <w:bottom w:val="single" w:color="000000" w:sz="8" w:space="0"/>
            </w:tcBorders>
            <w:shd w:val="clear" w:color="auto" w:fill="FFFFFF"/>
            <w:vAlign w:val="center"/>
          </w:tcPr>
          <w:p>
            <w:pPr>
              <w:jc w:val="center"/>
              <w:rPr>
                <w:rFonts w:ascii="宋体" w:hAnsi="宋体" w:cs="宋体"/>
                <w:color w:val="auto"/>
                <w:sz w:val="24"/>
              </w:rPr>
            </w:pPr>
            <w:r>
              <w:rPr>
                <w:rFonts w:hint="eastAsia"/>
                <w:color w:val="auto"/>
                <w:sz w:val="24"/>
              </w:rPr>
              <w:t>改建</w:t>
            </w:r>
          </w:p>
        </w:tc>
        <w:tc>
          <w:tcPr>
            <w:tcW w:w="42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auto"/>
                <w:sz w:val="24"/>
              </w:rPr>
            </w:pPr>
            <w:r>
              <w:rPr>
                <w:rFonts w:hint="eastAsia"/>
                <w:color w:val="auto"/>
                <w:sz w:val="24"/>
              </w:rPr>
              <w:t>南郊街道，打造医药、养老、健康管理等功能块，配套餐饮、超市、上午宾馆、管理用房等设施，约1</w:t>
            </w:r>
            <w:r>
              <w:rPr>
                <w:color w:val="auto"/>
                <w:sz w:val="24"/>
              </w:rPr>
              <w:t>3333</w:t>
            </w:r>
            <w:r>
              <w:rPr>
                <w:rFonts w:hint="eastAsia"/>
                <w:color w:val="auto"/>
                <w:sz w:val="24"/>
              </w:rPr>
              <w:t>平方米。</w:t>
            </w:r>
          </w:p>
        </w:tc>
        <w:tc>
          <w:tcPr>
            <w:tcW w:w="1776" w:type="dxa"/>
            <w:tcBorders>
              <w:top w:val="single" w:color="000000" w:sz="8" w:space="0"/>
              <w:bottom w:val="single" w:color="000000" w:sz="8" w:space="0"/>
              <w:right w:val="single" w:color="auto" w:sz="4" w:space="0"/>
            </w:tcBorders>
            <w:shd w:val="clear" w:color="auto" w:fill="FFFFFF"/>
            <w:vAlign w:val="center"/>
          </w:tcPr>
          <w:p>
            <w:pPr>
              <w:jc w:val="center"/>
              <w:rPr>
                <w:rFonts w:ascii="宋体" w:hAnsi="宋体" w:cs="宋体"/>
                <w:color w:val="auto"/>
                <w:sz w:val="24"/>
              </w:rPr>
            </w:pPr>
            <w:r>
              <w:rPr>
                <w:rFonts w:hint="eastAsia"/>
                <w:color w:val="auto"/>
                <w:sz w:val="24"/>
              </w:rPr>
              <w:t>1年</w:t>
            </w:r>
          </w:p>
        </w:tc>
        <w:tc>
          <w:tcPr>
            <w:tcW w:w="1422" w:type="dxa"/>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rPr>
            </w:pPr>
            <w:r>
              <w:rPr>
                <w:rFonts w:hint="eastAsia"/>
                <w:color w:val="auto"/>
              </w:rPr>
              <w:t>2．6</w:t>
            </w:r>
          </w:p>
        </w:tc>
        <w:tc>
          <w:tcPr>
            <w:tcW w:w="1984"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鹿城区政府</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3660" w:type="dxa"/>
            <w:gridSpan w:val="8"/>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b/>
                <w:color w:val="auto"/>
                <w:sz w:val="24"/>
              </w:rPr>
              <w:t>市属落地鹿城重大服务项目</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1</w:t>
            </w:r>
          </w:p>
        </w:tc>
        <w:tc>
          <w:tcPr>
            <w:tcW w:w="1716" w:type="dxa"/>
            <w:tcBorders>
              <w:top w:val="single" w:color="000000" w:sz="8" w:space="0"/>
              <w:bottom w:val="single" w:color="000000" w:sz="8" w:space="0"/>
            </w:tcBorders>
            <w:shd w:val="clear" w:color="auto" w:fill="FFFFFF"/>
            <w:vAlign w:val="center"/>
          </w:tcPr>
          <w:p>
            <w:pPr>
              <w:spacing w:line="300" w:lineRule="exact"/>
              <w:rPr>
                <w:rFonts w:cs="宋体"/>
                <w:color w:val="auto"/>
                <w:sz w:val="24"/>
              </w:rPr>
            </w:pPr>
            <w:r>
              <w:rPr>
                <w:rFonts w:hint="eastAsia" w:ascii="宋体" w:hAnsi="宋体" w:cs="宋体"/>
                <w:color w:val="auto"/>
                <w:sz w:val="24"/>
              </w:rPr>
              <w:t>温州为老信息服务中心建设</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color w:val="auto"/>
                <w:sz w:val="24"/>
              </w:rPr>
            </w:pPr>
            <w:r>
              <w:rPr>
                <w:rFonts w:hint="eastAsia" w:ascii="宋体" w:hAnsi="宋体" w:cs="宋体"/>
                <w:color w:val="auto"/>
                <w:sz w:val="24"/>
              </w:rPr>
              <w:t>鹿城</w:t>
            </w:r>
          </w:p>
        </w:tc>
        <w:tc>
          <w:tcPr>
            <w:tcW w:w="743"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续建</w:t>
            </w:r>
          </w:p>
        </w:tc>
        <w:tc>
          <w:tcPr>
            <w:tcW w:w="42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rFonts w:cs="宋体"/>
                <w:color w:val="auto"/>
                <w:sz w:val="24"/>
              </w:rPr>
            </w:pPr>
            <w:r>
              <w:rPr>
                <w:rFonts w:hint="eastAsia" w:ascii="宋体" w:hAnsi="宋体" w:cs="宋体"/>
                <w:color w:val="auto"/>
                <w:sz w:val="24"/>
              </w:rPr>
              <w:t>温州市社会养老服务平台、为老服务软件应用系统、结算系统、终端设备投入, 联合温州电信扩大一键通为老服务平台覆盖面，从老干部延伸到事业单位退休老人及社会老人。</w:t>
            </w:r>
          </w:p>
        </w:tc>
        <w:tc>
          <w:tcPr>
            <w:tcW w:w="1776"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年</w:t>
            </w:r>
            <w:r>
              <w:rPr>
                <w:rFonts w:ascii="宋体" w:hAnsi="宋体" w:cs="宋体"/>
                <w:color w:val="auto"/>
                <w:sz w:val="24"/>
              </w:rPr>
              <w:t>(2014-2017)</w:t>
            </w:r>
          </w:p>
        </w:tc>
        <w:tc>
          <w:tcPr>
            <w:tcW w:w="14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rPr>
            </w:pPr>
            <w:r>
              <w:rPr>
                <w:rFonts w:hint="eastAsia" w:ascii="宋体" w:hAnsi="宋体" w:cs="宋体"/>
                <w:color w:val="auto"/>
              </w:rPr>
              <w:t>0.07</w:t>
            </w:r>
          </w:p>
        </w:tc>
        <w:tc>
          <w:tcPr>
            <w:tcW w:w="1984" w:type="dxa"/>
            <w:tcBorders>
              <w:top w:val="single" w:color="000000" w:sz="8" w:space="0"/>
              <w:bottom w:val="single" w:color="000000" w:sz="8" w:space="0"/>
            </w:tcBorders>
            <w:shd w:val="clear" w:color="auto" w:fill="FFFFFF"/>
            <w:vAlign w:val="center"/>
          </w:tcPr>
          <w:p>
            <w:pPr>
              <w:spacing w:line="300" w:lineRule="exact"/>
              <w:jc w:val="center"/>
              <w:rPr>
                <w:rFonts w:cs="宋体"/>
                <w:color w:val="auto"/>
                <w:sz w:val="24"/>
              </w:rPr>
            </w:pPr>
            <w:r>
              <w:rPr>
                <w:rFonts w:hint="eastAsia" w:ascii="宋体" w:hAnsi="宋体" w:cs="宋体"/>
                <w:color w:val="auto"/>
                <w:sz w:val="24"/>
              </w:rPr>
              <w:t>温州市民政局</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2</w:t>
            </w:r>
          </w:p>
        </w:tc>
        <w:tc>
          <w:tcPr>
            <w:tcW w:w="1716" w:type="dxa"/>
            <w:tcBorders>
              <w:top w:val="single" w:color="000000" w:sz="8" w:space="0"/>
              <w:bottom w:val="single" w:color="000000" w:sz="8" w:space="0"/>
            </w:tcBorders>
            <w:shd w:val="clear" w:color="auto" w:fill="FFFFFF"/>
            <w:vAlign w:val="center"/>
          </w:tcPr>
          <w:p>
            <w:pPr>
              <w:rPr>
                <w:rFonts w:cs="宋体"/>
                <w:color w:val="auto"/>
                <w:sz w:val="24"/>
              </w:rPr>
            </w:pPr>
            <w:r>
              <w:rPr>
                <w:rFonts w:hint="eastAsia" w:cs="宋体"/>
                <w:color w:val="auto"/>
                <w:sz w:val="24"/>
              </w:rPr>
              <w:t>责任医生签约服务项目</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auto"/>
                <w:sz w:val="24"/>
              </w:rPr>
            </w:pPr>
            <w:r>
              <w:rPr>
                <w:rFonts w:hint="eastAsia"/>
                <w:color w:val="auto"/>
                <w:sz w:val="24"/>
              </w:rPr>
              <w:t>鹿城</w:t>
            </w:r>
          </w:p>
        </w:tc>
        <w:tc>
          <w:tcPr>
            <w:tcW w:w="743"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w:t>
            </w:r>
          </w:p>
        </w:tc>
        <w:tc>
          <w:tcPr>
            <w:tcW w:w="42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cs="宋体"/>
                <w:color w:val="auto"/>
                <w:sz w:val="24"/>
              </w:rPr>
            </w:pPr>
            <w:r>
              <w:rPr>
                <w:rFonts w:hint="eastAsia" w:cs="宋体"/>
                <w:color w:val="auto"/>
                <w:sz w:val="24"/>
              </w:rPr>
              <w:t>全市基层医疗机构优先为辖区老年人提供责任医生签约服务。</w:t>
            </w:r>
          </w:p>
        </w:tc>
        <w:tc>
          <w:tcPr>
            <w:tcW w:w="1776"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p>
          <w:p>
            <w:pPr>
              <w:spacing w:line="300" w:lineRule="exact"/>
              <w:jc w:val="center"/>
              <w:rPr>
                <w:rFonts w:ascii="宋体" w:hAnsi="宋体" w:cs="宋体"/>
                <w:color w:val="auto"/>
                <w:sz w:val="24"/>
              </w:rPr>
            </w:pPr>
            <w:r>
              <w:rPr>
                <w:rFonts w:hint="eastAsia" w:ascii="宋体" w:hAnsi="宋体" w:cs="宋体"/>
                <w:color w:val="auto"/>
                <w:sz w:val="24"/>
              </w:rPr>
              <w:t>/</w:t>
            </w:r>
          </w:p>
        </w:tc>
        <w:tc>
          <w:tcPr>
            <w:tcW w:w="14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rPr>
            </w:pPr>
            <w:r>
              <w:rPr>
                <w:rFonts w:hint="eastAsia" w:ascii="宋体" w:hAnsi="宋体" w:cs="宋体"/>
                <w:color w:val="auto"/>
              </w:rPr>
              <w:t>/</w:t>
            </w:r>
          </w:p>
        </w:tc>
        <w:tc>
          <w:tcPr>
            <w:tcW w:w="1984" w:type="dxa"/>
            <w:tcBorders>
              <w:top w:val="single" w:color="000000" w:sz="8" w:space="0"/>
              <w:bottom w:val="single" w:color="000000" w:sz="8" w:space="0"/>
            </w:tcBorders>
            <w:shd w:val="clear" w:color="auto" w:fill="FFFFFF"/>
            <w:vAlign w:val="center"/>
          </w:tcPr>
          <w:p>
            <w:pPr>
              <w:jc w:val="center"/>
              <w:rPr>
                <w:rFonts w:cs="宋体"/>
                <w:color w:val="auto"/>
                <w:sz w:val="24"/>
              </w:rPr>
            </w:pPr>
            <w:r>
              <w:rPr>
                <w:rFonts w:hint="eastAsia" w:cs="宋体"/>
                <w:color w:val="auto"/>
                <w:sz w:val="24"/>
              </w:rPr>
              <w:t>温州市卫计委、财政局、发改委（物价）、人力社保局</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3</w:t>
            </w:r>
          </w:p>
        </w:tc>
        <w:tc>
          <w:tcPr>
            <w:tcW w:w="1716"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温州城市大学老年教育总校职能提升工程</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鹿城</w:t>
            </w:r>
          </w:p>
        </w:tc>
        <w:tc>
          <w:tcPr>
            <w:tcW w:w="743"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w:t>
            </w:r>
          </w:p>
        </w:tc>
        <w:tc>
          <w:tcPr>
            <w:tcW w:w="42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rFonts w:ascii="宋体" w:hAnsi="宋体" w:cs="宋体"/>
                <w:color w:val="auto"/>
                <w:sz w:val="24"/>
              </w:rPr>
            </w:pPr>
            <w:r>
              <w:rPr>
                <w:rFonts w:hint="eastAsia" w:cs="宋体"/>
                <w:color w:val="auto"/>
                <w:sz w:val="24"/>
              </w:rPr>
              <w:t>提升温州城市大学作为全市老年教育课程开发中心、教学科研中心、师资培训中心、活动交流中心和老年服务人才培养中心的功能和作用；推动县级社区学院与老年大学整合。</w:t>
            </w:r>
          </w:p>
        </w:tc>
        <w:tc>
          <w:tcPr>
            <w:tcW w:w="1776"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5年</w:t>
            </w:r>
          </w:p>
          <w:p>
            <w:pPr>
              <w:spacing w:line="300" w:lineRule="exact"/>
              <w:jc w:val="center"/>
              <w:rPr>
                <w:rFonts w:ascii="宋体" w:hAnsi="宋体" w:cs="宋体"/>
                <w:color w:val="auto"/>
                <w:sz w:val="24"/>
              </w:rPr>
            </w:pPr>
            <w:r>
              <w:rPr>
                <w:rFonts w:ascii="宋体" w:hAnsi="宋体" w:cs="宋体"/>
                <w:color w:val="auto"/>
                <w:sz w:val="24"/>
              </w:rPr>
              <w:t>(2016-2020)</w:t>
            </w:r>
          </w:p>
        </w:tc>
        <w:tc>
          <w:tcPr>
            <w:tcW w:w="14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rPr>
            </w:pPr>
            <w:r>
              <w:rPr>
                <w:rFonts w:hint="eastAsia" w:ascii="宋体" w:hAnsi="宋体" w:cs="宋体"/>
                <w:color w:val="auto"/>
              </w:rPr>
              <w:t>0.25</w:t>
            </w:r>
          </w:p>
        </w:tc>
        <w:tc>
          <w:tcPr>
            <w:tcW w:w="1984"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温州城市大学</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759" w:type="dxa"/>
            <w:tcBorders>
              <w:top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4</w:t>
            </w:r>
          </w:p>
        </w:tc>
        <w:tc>
          <w:tcPr>
            <w:tcW w:w="1716" w:type="dxa"/>
            <w:tcBorders>
              <w:top w:val="single" w:color="000000" w:sz="8" w:space="0"/>
              <w:bottom w:val="single" w:color="000000" w:sz="8" w:space="0"/>
            </w:tcBorders>
            <w:shd w:val="clear" w:color="auto" w:fill="FFFFFF"/>
            <w:vAlign w:val="center"/>
          </w:tcPr>
          <w:p>
            <w:pPr>
              <w:spacing w:line="300" w:lineRule="exact"/>
              <w:rPr>
                <w:rFonts w:ascii="宋体" w:hAnsi="宋体" w:cs="宋体"/>
                <w:color w:val="auto"/>
                <w:sz w:val="24"/>
              </w:rPr>
            </w:pPr>
            <w:r>
              <w:rPr>
                <w:rFonts w:hint="eastAsia" w:ascii="宋体" w:hAnsi="宋体" w:cs="宋体"/>
                <w:color w:val="auto"/>
                <w:sz w:val="24"/>
              </w:rPr>
              <w:t>温州老年服务众创平台</w:t>
            </w:r>
          </w:p>
        </w:tc>
        <w:tc>
          <w:tcPr>
            <w:tcW w:w="9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鹿城</w:t>
            </w:r>
          </w:p>
        </w:tc>
        <w:tc>
          <w:tcPr>
            <w:tcW w:w="743"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w:t>
            </w:r>
          </w:p>
        </w:tc>
        <w:tc>
          <w:tcPr>
            <w:tcW w:w="42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rPr>
                <w:rFonts w:cs="宋体"/>
                <w:color w:val="auto"/>
                <w:sz w:val="24"/>
              </w:rPr>
            </w:pPr>
            <w:r>
              <w:rPr>
                <w:rFonts w:hint="eastAsia" w:cs="宋体"/>
                <w:color w:val="auto"/>
                <w:sz w:val="24"/>
              </w:rPr>
              <w:t>温州市养老服务信息化平台、温州市老龄产业孵化平台、温州市老龄体验与展示平台</w:t>
            </w:r>
          </w:p>
        </w:tc>
        <w:tc>
          <w:tcPr>
            <w:tcW w:w="1776"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年</w:t>
            </w:r>
            <w:r>
              <w:rPr>
                <w:rFonts w:ascii="宋体" w:hAnsi="宋体" w:cs="宋体"/>
                <w:color w:val="auto"/>
                <w:sz w:val="24"/>
              </w:rPr>
              <w:t>(2016-2017)</w:t>
            </w:r>
          </w:p>
        </w:tc>
        <w:tc>
          <w:tcPr>
            <w:tcW w:w="14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宋体" w:hAnsi="宋体" w:cs="宋体"/>
                <w:color w:val="auto"/>
              </w:rPr>
            </w:pPr>
            <w:r>
              <w:rPr>
                <w:rFonts w:hint="eastAsia" w:ascii="宋体" w:hAnsi="宋体" w:cs="宋体"/>
                <w:color w:val="auto"/>
              </w:rPr>
              <w:t>0.5</w:t>
            </w:r>
          </w:p>
        </w:tc>
        <w:tc>
          <w:tcPr>
            <w:tcW w:w="1984" w:type="dxa"/>
            <w:tcBorders>
              <w:top w:val="single" w:color="000000" w:sz="8" w:space="0"/>
              <w:bottom w:val="single" w:color="000000" w:sz="8" w:space="0"/>
            </w:tcBorders>
            <w:shd w:val="clear" w:color="auto" w:fill="FFFFFF"/>
            <w:vAlign w:val="center"/>
          </w:tcPr>
          <w:p>
            <w:pPr>
              <w:spacing w:line="300" w:lineRule="exact"/>
              <w:jc w:val="center"/>
              <w:rPr>
                <w:rFonts w:ascii="宋体" w:hAnsi="宋体" w:cs="宋体"/>
                <w:color w:val="auto"/>
                <w:sz w:val="24"/>
              </w:rPr>
            </w:pPr>
            <w:r>
              <w:rPr>
                <w:rFonts w:hint="eastAsia" w:ascii="宋体" w:hAnsi="宋体" w:cs="宋体"/>
                <w:color w:val="auto"/>
                <w:sz w:val="24"/>
              </w:rPr>
              <w:t>温州市民政局</w:t>
            </w:r>
          </w:p>
        </w:tc>
      </w:tr>
    </w:tbl>
    <w:p>
      <w:pPr>
        <w:spacing w:line="800" w:lineRule="exact"/>
        <w:rPr>
          <w:color w:val="auto"/>
        </w:rPr>
      </w:pPr>
      <w:r>
        <w:rPr>
          <w:rFonts w:hint="eastAsia"/>
          <w:color w:val="auto"/>
        </w:rPr>
        <w:t>重大项目来源于《鹿城区国民经济和社会发展第十三个五年规划纲要》《温州市老龄事业发展“十三五”规划》</w:t>
      </w:r>
    </w:p>
    <w:p>
      <w:pPr>
        <w:rPr>
          <w:color w:val="auto"/>
        </w:rPr>
        <w:sectPr>
          <w:pgSz w:w="16838" w:h="11906" w:orient="landscape"/>
          <w:pgMar w:top="1803" w:right="1474" w:bottom="1803" w:left="1587" w:header="851" w:footer="992" w:gutter="0"/>
          <w:cols w:space="0" w:num="1"/>
          <w:rtlGutter w:val="0"/>
          <w:docGrid w:type="lines" w:linePitch="319" w:charSpace="0"/>
        </w:sectPr>
      </w:pPr>
    </w:p>
    <w:p>
      <w:pPr>
        <w:rPr>
          <w:color w:val="auto"/>
        </w:rPr>
      </w:pPr>
    </w:p>
    <w:sectPr>
      <w:pgSz w:w="11906" w:h="16838"/>
      <w:pgMar w:top="1474" w:right="1803" w:bottom="1587"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E-B6">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3"/>
      </w:rPr>
    </w:pPr>
    <w:r>
      <w:fldChar w:fldCharType="begin"/>
    </w:r>
    <w:r>
      <w:rPr>
        <w:rStyle w:val="23"/>
      </w:rPr>
      <w:instrText xml:space="preserve">PAGE  </w:instrText>
    </w:r>
    <w:r>
      <w:fldChar w:fldCharType="separate"/>
    </w:r>
    <w:r>
      <w:rPr>
        <w:rStyle w:val="23"/>
      </w:rPr>
      <w:t>1</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3"/>
      </w:rPr>
    </w:pPr>
    <w:r>
      <w:fldChar w:fldCharType="begin"/>
    </w:r>
    <w:r>
      <w:rPr>
        <w:rStyle w:val="23"/>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color w:val="000000"/>
                            </w:rPr>
                          </w:pPr>
                          <w:r>
                            <w:rPr>
                              <w:color w:val="000000"/>
                            </w:rPr>
                            <w:fldChar w:fldCharType="begin"/>
                          </w:r>
                          <w:r>
                            <w:rPr>
                              <w:color w:val="000000"/>
                            </w:rPr>
                            <w:instrText xml:space="preserve">PAGE  </w:instrText>
                          </w:r>
                          <w:r>
                            <w:rPr>
                              <w:color w:val="000000"/>
                            </w:rPr>
                            <w:fldChar w:fldCharType="separate"/>
                          </w:r>
                          <w:r>
                            <w:rPr>
                              <w:color w:val="000000"/>
                            </w:rPr>
                            <w:t>1</w:t>
                          </w:r>
                          <w:r>
                            <w:rPr>
                              <w:color w:val="000000"/>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D5J/J8oBAACWAwAADgAAAAAAAAABACAAAAAeAQAAZHJzL2Uyb0Rv&#10;Yy54bWxQSwUGAAAAAAYABgBZAQAAWgUAAAAA&#10;">
              <v:fill on="f" focussize="0,0"/>
              <v:stroke on="f"/>
              <v:imagedata o:title=""/>
              <o:lock v:ext="edit" aspectratio="f"/>
              <v:textbox inset="0mm,0mm,0mm,0mm" style="mso-fit-shape-to-text:t;">
                <w:txbxContent>
                  <w:p>
                    <w:pPr>
                      <w:pStyle w:val="11"/>
                      <w:rPr>
                        <w:color w:val="000000"/>
                      </w:rPr>
                    </w:pPr>
                    <w:r>
                      <w:rPr>
                        <w:color w:val="000000"/>
                      </w:rPr>
                      <w:fldChar w:fldCharType="begin"/>
                    </w:r>
                    <w:r>
                      <w:rPr>
                        <w:color w:val="000000"/>
                      </w:rPr>
                      <w:instrText xml:space="preserve">PAGE  </w:instrText>
                    </w:r>
                    <w:r>
                      <w:rPr>
                        <w:color w:val="000000"/>
                      </w:rPr>
                      <w:fldChar w:fldCharType="separate"/>
                    </w:r>
                    <w:r>
                      <w:rPr>
                        <w:color w:val="000000"/>
                      </w:rPr>
                      <w:t>1</w:t>
                    </w:r>
                    <w:r>
                      <w:rPr>
                        <w:color w:val="00000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5"/>
      </w:pPr>
      <w:r>
        <w:rPr>
          <w:rStyle w:val="25"/>
        </w:rPr>
        <w:footnoteRef/>
      </w:r>
      <w:r>
        <w:t xml:space="preserve"> </w:t>
      </w:r>
      <w:r>
        <w:rPr>
          <w:rFonts w:hint="eastAsia"/>
        </w:rPr>
        <w:t>数据来源：《温州市2015年老龄事业统计公报》</w:t>
      </w:r>
    </w:p>
  </w:footnote>
  <w:footnote w:id="1">
    <w:p>
      <w:pPr>
        <w:pStyle w:val="15"/>
      </w:pPr>
      <w:r>
        <w:rPr>
          <w:rStyle w:val="25"/>
        </w:rPr>
        <w:footnoteRef/>
      </w:r>
      <w:r>
        <w:t xml:space="preserve"> </w:t>
      </w:r>
      <w:r>
        <w:rPr>
          <w:rFonts w:hint="eastAsia"/>
        </w:rPr>
        <w:t>仅包括职工基本养老保险部分，数据来源于《2015年鹿城区国民经济和社会发展统计公报》</w:t>
      </w:r>
    </w:p>
  </w:footnote>
  <w:footnote w:id="2">
    <w:p>
      <w:pPr>
        <w:pStyle w:val="15"/>
      </w:pPr>
      <w:r>
        <w:rPr>
          <w:rStyle w:val="25"/>
        </w:rPr>
        <w:footnoteRef/>
      </w:r>
      <w:r>
        <w:t xml:space="preserve"> </w:t>
      </w:r>
      <w:r>
        <w:rPr>
          <w:rFonts w:hint="eastAsia"/>
        </w:rPr>
        <w:t>指城镇职工基本医疗保险参保16.62万、城乡居民基本医疗保险两参保人数22.85万两者合计数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681C4"/>
    <w:multiLevelType w:val="singleLevel"/>
    <w:tmpl w:val="575681C4"/>
    <w:lvl w:ilvl="0" w:tentative="0">
      <w:start w:val="2"/>
      <w:numFmt w:val="decimal"/>
      <w:suff w:val="nothing"/>
      <w:lvlText w:val="%1、"/>
      <w:lvlJc w:val="left"/>
    </w:lvl>
  </w:abstractNum>
  <w:abstractNum w:abstractNumId="1">
    <w:nsid w:val="5F0C1E08"/>
    <w:multiLevelType w:val="multilevel"/>
    <w:tmpl w:val="5F0C1E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footnotePr>
    <w:footnote w:id="6"/>
    <w:footnote w:id="7"/>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4208B"/>
    <w:rsid w:val="00251DA4"/>
    <w:rsid w:val="002E4399"/>
    <w:rsid w:val="0074402A"/>
    <w:rsid w:val="007C6CF7"/>
    <w:rsid w:val="009D12F8"/>
    <w:rsid w:val="00A758C2"/>
    <w:rsid w:val="00B1782F"/>
    <w:rsid w:val="00C2250A"/>
    <w:rsid w:val="00DF61A8"/>
    <w:rsid w:val="00E82C43"/>
    <w:rsid w:val="00EE0467"/>
    <w:rsid w:val="00F51E0B"/>
    <w:rsid w:val="01D17C43"/>
    <w:rsid w:val="02722B52"/>
    <w:rsid w:val="03014CDD"/>
    <w:rsid w:val="03092788"/>
    <w:rsid w:val="04651AD3"/>
    <w:rsid w:val="059F3165"/>
    <w:rsid w:val="05B43E02"/>
    <w:rsid w:val="05ED4B2B"/>
    <w:rsid w:val="06C668DC"/>
    <w:rsid w:val="06FD6EC9"/>
    <w:rsid w:val="070A7AB5"/>
    <w:rsid w:val="075C7330"/>
    <w:rsid w:val="07791FA5"/>
    <w:rsid w:val="079C7C1F"/>
    <w:rsid w:val="07E22154"/>
    <w:rsid w:val="0821520E"/>
    <w:rsid w:val="08BE4E83"/>
    <w:rsid w:val="08EA5E73"/>
    <w:rsid w:val="0BD9240E"/>
    <w:rsid w:val="0C4203CA"/>
    <w:rsid w:val="0C5C5ADF"/>
    <w:rsid w:val="0DE55B1A"/>
    <w:rsid w:val="0F514154"/>
    <w:rsid w:val="0FE77E38"/>
    <w:rsid w:val="109A740E"/>
    <w:rsid w:val="118B26ED"/>
    <w:rsid w:val="11AF6D2E"/>
    <w:rsid w:val="12A72142"/>
    <w:rsid w:val="12FD6E92"/>
    <w:rsid w:val="13D9562C"/>
    <w:rsid w:val="140F595E"/>
    <w:rsid w:val="15031AC8"/>
    <w:rsid w:val="1566707B"/>
    <w:rsid w:val="158F60F5"/>
    <w:rsid w:val="15F87EEB"/>
    <w:rsid w:val="17612C2D"/>
    <w:rsid w:val="17C92522"/>
    <w:rsid w:val="190F3FDC"/>
    <w:rsid w:val="190F51FE"/>
    <w:rsid w:val="19C8193A"/>
    <w:rsid w:val="1A375B05"/>
    <w:rsid w:val="1AB33440"/>
    <w:rsid w:val="1AFC72E8"/>
    <w:rsid w:val="1D7A0CEE"/>
    <w:rsid w:val="1DC94C5E"/>
    <w:rsid w:val="1E634F24"/>
    <w:rsid w:val="1E9D3FEC"/>
    <w:rsid w:val="1F1360F9"/>
    <w:rsid w:val="1FED0EAA"/>
    <w:rsid w:val="1FF07354"/>
    <w:rsid w:val="20084291"/>
    <w:rsid w:val="20D82E13"/>
    <w:rsid w:val="210E7131"/>
    <w:rsid w:val="21AC764E"/>
    <w:rsid w:val="21BD0E71"/>
    <w:rsid w:val="223E3672"/>
    <w:rsid w:val="23862FDF"/>
    <w:rsid w:val="23CD3DA7"/>
    <w:rsid w:val="24FD06E4"/>
    <w:rsid w:val="264E23CF"/>
    <w:rsid w:val="27C952C8"/>
    <w:rsid w:val="27E977AD"/>
    <w:rsid w:val="28232A34"/>
    <w:rsid w:val="286960C6"/>
    <w:rsid w:val="28737A0F"/>
    <w:rsid w:val="28B03B60"/>
    <w:rsid w:val="29232A45"/>
    <w:rsid w:val="29C055D8"/>
    <w:rsid w:val="2A04718E"/>
    <w:rsid w:val="2A9667F8"/>
    <w:rsid w:val="2D464336"/>
    <w:rsid w:val="2D654044"/>
    <w:rsid w:val="2DC24D74"/>
    <w:rsid w:val="2DFE57E1"/>
    <w:rsid w:val="2E0A0B39"/>
    <w:rsid w:val="2EE65143"/>
    <w:rsid w:val="2F06533F"/>
    <w:rsid w:val="2FAE5BDF"/>
    <w:rsid w:val="304603E1"/>
    <w:rsid w:val="30C83F72"/>
    <w:rsid w:val="31944C10"/>
    <w:rsid w:val="31B00218"/>
    <w:rsid w:val="32666DE9"/>
    <w:rsid w:val="333C45AD"/>
    <w:rsid w:val="33F87D15"/>
    <w:rsid w:val="345F55B9"/>
    <w:rsid w:val="35715018"/>
    <w:rsid w:val="36197502"/>
    <w:rsid w:val="36934FEB"/>
    <w:rsid w:val="3840033D"/>
    <w:rsid w:val="38883C5A"/>
    <w:rsid w:val="38A91F5F"/>
    <w:rsid w:val="38CD6DBC"/>
    <w:rsid w:val="39757980"/>
    <w:rsid w:val="3A9D1547"/>
    <w:rsid w:val="3C0A4895"/>
    <w:rsid w:val="3C1C3C90"/>
    <w:rsid w:val="3C735F90"/>
    <w:rsid w:val="3CD25B12"/>
    <w:rsid w:val="3D112DE4"/>
    <w:rsid w:val="3D3422AC"/>
    <w:rsid w:val="3D430A53"/>
    <w:rsid w:val="3DC364A3"/>
    <w:rsid w:val="3EA63C09"/>
    <w:rsid w:val="3FA01BD8"/>
    <w:rsid w:val="3FC42D61"/>
    <w:rsid w:val="406633C9"/>
    <w:rsid w:val="41184AF4"/>
    <w:rsid w:val="41DD2EFB"/>
    <w:rsid w:val="42824E84"/>
    <w:rsid w:val="42C8160F"/>
    <w:rsid w:val="43B90321"/>
    <w:rsid w:val="44BB33E9"/>
    <w:rsid w:val="44ED1129"/>
    <w:rsid w:val="44F9202C"/>
    <w:rsid w:val="45426F3B"/>
    <w:rsid w:val="45E80601"/>
    <w:rsid w:val="467E063C"/>
    <w:rsid w:val="487F61FA"/>
    <w:rsid w:val="49801933"/>
    <w:rsid w:val="4A672A0C"/>
    <w:rsid w:val="4ABB3A6A"/>
    <w:rsid w:val="4ABB727D"/>
    <w:rsid w:val="4B6B63E2"/>
    <w:rsid w:val="4B706566"/>
    <w:rsid w:val="4BE3107E"/>
    <w:rsid w:val="4C0D60DE"/>
    <w:rsid w:val="4C1B7D2D"/>
    <w:rsid w:val="4D484FAB"/>
    <w:rsid w:val="4D8F6A66"/>
    <w:rsid w:val="4E9754B2"/>
    <w:rsid w:val="512407AD"/>
    <w:rsid w:val="526850DC"/>
    <w:rsid w:val="52DC2D82"/>
    <w:rsid w:val="54024ECE"/>
    <w:rsid w:val="559505E2"/>
    <w:rsid w:val="55B30B48"/>
    <w:rsid w:val="55F50745"/>
    <w:rsid w:val="57733B90"/>
    <w:rsid w:val="57A31AF2"/>
    <w:rsid w:val="586D5C3B"/>
    <w:rsid w:val="596B0EB9"/>
    <w:rsid w:val="59CE2081"/>
    <w:rsid w:val="5A6B4EFC"/>
    <w:rsid w:val="5ABA5AD0"/>
    <w:rsid w:val="5ABD6DD7"/>
    <w:rsid w:val="5D584CF0"/>
    <w:rsid w:val="5DC95485"/>
    <w:rsid w:val="5E0F4F6D"/>
    <w:rsid w:val="5E1B6DA2"/>
    <w:rsid w:val="5E6F5212"/>
    <w:rsid w:val="5FE104FA"/>
    <w:rsid w:val="6216519C"/>
    <w:rsid w:val="62F80243"/>
    <w:rsid w:val="630B4A83"/>
    <w:rsid w:val="63E75AD2"/>
    <w:rsid w:val="641020D8"/>
    <w:rsid w:val="642E04AE"/>
    <w:rsid w:val="64F36C95"/>
    <w:rsid w:val="6500378B"/>
    <w:rsid w:val="66B360C0"/>
    <w:rsid w:val="67A46897"/>
    <w:rsid w:val="68D966C5"/>
    <w:rsid w:val="6A73708F"/>
    <w:rsid w:val="6AD617DD"/>
    <w:rsid w:val="6B6D34EF"/>
    <w:rsid w:val="6BEB72F8"/>
    <w:rsid w:val="6C6F0709"/>
    <w:rsid w:val="6C852B17"/>
    <w:rsid w:val="6DF40D87"/>
    <w:rsid w:val="6ECB3496"/>
    <w:rsid w:val="6FB94BCC"/>
    <w:rsid w:val="6FC13E00"/>
    <w:rsid w:val="70846BC7"/>
    <w:rsid w:val="728B214C"/>
    <w:rsid w:val="730652C5"/>
    <w:rsid w:val="739860C5"/>
    <w:rsid w:val="73BC177C"/>
    <w:rsid w:val="73DB771E"/>
    <w:rsid w:val="755A6853"/>
    <w:rsid w:val="76CB43E3"/>
    <w:rsid w:val="76F8302E"/>
    <w:rsid w:val="771E14DD"/>
    <w:rsid w:val="778022AD"/>
    <w:rsid w:val="77B5092B"/>
    <w:rsid w:val="785841AA"/>
    <w:rsid w:val="78E47BE2"/>
    <w:rsid w:val="791238F1"/>
    <w:rsid w:val="7B8905DC"/>
    <w:rsid w:val="7BF07554"/>
    <w:rsid w:val="7C1B2E91"/>
    <w:rsid w:val="7C342F70"/>
    <w:rsid w:val="7E35658D"/>
    <w:rsid w:val="7E3F4757"/>
    <w:rsid w:val="7E45592A"/>
    <w:rsid w:val="7EA66B88"/>
    <w:rsid w:val="7EF31C96"/>
    <w:rsid w:val="7EFB736A"/>
    <w:rsid w:val="7F326017"/>
    <w:rsid w:val="7FC3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ascii="Times New Roman" w:hAnsi="Times New Roman" w:eastAsia="宋体"/>
      <w:b/>
      <w:bCs/>
      <w:kern w:val="44"/>
      <w:sz w:val="44"/>
      <w:szCs w:val="44"/>
    </w:rPr>
  </w:style>
  <w:style w:type="paragraph" w:styleId="3">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6" w:lineRule="auto"/>
      <w:outlineLvl w:val="2"/>
    </w:pPr>
    <w:rPr>
      <w:rFonts w:ascii="Calibri" w:hAnsi="Calibri"/>
      <w:b/>
      <w:bCs/>
      <w:sz w:val="32"/>
      <w:szCs w:val="32"/>
    </w:rPr>
  </w:style>
  <w:style w:type="character" w:default="1" w:styleId="21">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annotation text"/>
    <w:basedOn w:val="1"/>
    <w:qFormat/>
    <w:uiPriority w:val="0"/>
    <w:pPr>
      <w:jc w:val="left"/>
    </w:pPr>
  </w:style>
  <w:style w:type="paragraph" w:styleId="7">
    <w:name w:val="toc 5"/>
    <w:basedOn w:val="1"/>
    <w:next w:val="1"/>
    <w:qFormat/>
    <w:uiPriority w:val="0"/>
    <w:pPr>
      <w:ind w:left="1680" w:leftChars="800"/>
    </w:pPr>
  </w:style>
  <w:style w:type="paragraph" w:styleId="8">
    <w:name w:val="toc 3"/>
    <w:basedOn w:val="1"/>
    <w:next w:val="1"/>
    <w:qFormat/>
    <w:uiPriority w:val="39"/>
    <w:pPr>
      <w:ind w:left="840" w:leftChars="400"/>
    </w:pPr>
  </w:style>
  <w:style w:type="paragraph" w:styleId="9">
    <w:name w:val="toc 8"/>
    <w:basedOn w:val="1"/>
    <w:next w:val="1"/>
    <w:qFormat/>
    <w:uiPriority w:val="0"/>
    <w:pPr>
      <w:ind w:left="2940" w:leftChars="1400"/>
    </w:pPr>
  </w:style>
  <w:style w:type="paragraph" w:styleId="10">
    <w:name w:val="Balloon Text"/>
    <w:basedOn w:val="1"/>
    <w:link w:val="28"/>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4"/>
    <w:basedOn w:val="1"/>
    <w:next w:val="1"/>
    <w:qFormat/>
    <w:uiPriority w:val="0"/>
    <w:pPr>
      <w:ind w:left="1260" w:leftChars="600"/>
    </w:pPr>
  </w:style>
  <w:style w:type="paragraph" w:styleId="15">
    <w:name w:val="footnote text"/>
    <w:basedOn w:val="1"/>
    <w:qFormat/>
    <w:uiPriority w:val="0"/>
    <w:pPr>
      <w:snapToGrid w:val="0"/>
      <w:jc w:val="left"/>
    </w:pPr>
    <w:rPr>
      <w:rFonts w:ascii="Calibri" w:hAnsi="Calibri"/>
      <w:sz w:val="18"/>
      <w:szCs w:val="18"/>
    </w:rPr>
  </w:style>
  <w:style w:type="paragraph" w:styleId="16">
    <w:name w:val="toc 6"/>
    <w:basedOn w:val="1"/>
    <w:next w:val="1"/>
    <w:qFormat/>
    <w:uiPriority w:val="0"/>
    <w:pPr>
      <w:ind w:left="2100" w:leftChars="1000"/>
    </w:pPr>
  </w:style>
  <w:style w:type="paragraph" w:styleId="17">
    <w:name w:val="toc 2"/>
    <w:basedOn w:val="1"/>
    <w:next w:val="1"/>
    <w:qFormat/>
    <w:uiPriority w:val="39"/>
    <w:pPr>
      <w:ind w:left="420" w:leftChars="200"/>
    </w:pPr>
  </w:style>
  <w:style w:type="paragraph" w:styleId="18">
    <w:name w:val="toc 9"/>
    <w:basedOn w:val="1"/>
    <w:next w:val="1"/>
    <w:qFormat/>
    <w:uiPriority w:val="0"/>
    <w:pPr>
      <w:ind w:left="3360" w:leftChars="16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2">
    <w:name w:val="Strong"/>
    <w:basedOn w:val="21"/>
    <w:qFormat/>
    <w:uiPriority w:val="0"/>
    <w:rPr>
      <w:b/>
    </w:rPr>
  </w:style>
  <w:style w:type="character" w:styleId="23">
    <w:name w:val="page number"/>
    <w:basedOn w:val="21"/>
    <w:qFormat/>
    <w:uiPriority w:val="0"/>
  </w:style>
  <w:style w:type="character" w:styleId="24">
    <w:name w:val="Hyperlink"/>
    <w:basedOn w:val="21"/>
    <w:unhideWhenUsed/>
    <w:qFormat/>
    <w:uiPriority w:val="99"/>
    <w:rPr>
      <w:color w:val="0563C1" w:themeColor="hyperlink"/>
      <w:u w:val="single"/>
      <w14:textFill>
        <w14:solidFill>
          <w14:schemeClr w14:val="hlink"/>
        </w14:solidFill>
      </w14:textFill>
    </w:rPr>
  </w:style>
  <w:style w:type="character" w:styleId="25">
    <w:name w:val="footnote reference"/>
    <w:qFormat/>
    <w:uiPriority w:val="0"/>
    <w:rPr>
      <w:rFonts w:cs="Times New Roman"/>
      <w:vertAlign w:val="superscript"/>
    </w:rPr>
  </w:style>
  <w:style w:type="paragraph" w:customStyle="1" w:styleId="26">
    <w:name w:val="TOC 标题1"/>
    <w:basedOn w:val="2"/>
    <w:next w:val="1"/>
    <w:qFormat/>
    <w:uiPriority w:val="39"/>
    <w:pPr>
      <w:widowControl/>
      <w:spacing w:before="480" w:after="0" w:line="276" w:lineRule="auto"/>
      <w:jc w:val="left"/>
      <w:outlineLvl w:val="9"/>
    </w:pPr>
    <w:rPr>
      <w:rFonts w:ascii="Cambria" w:hAnsi="Cambria" w:cs="Times New Roman"/>
      <w:color w:val="365F91"/>
      <w:kern w:val="0"/>
      <w:sz w:val="28"/>
      <w:szCs w:val="28"/>
    </w:rPr>
  </w:style>
  <w:style w:type="paragraph" w:customStyle="1" w:styleId="2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8">
    <w:name w:val="批注框文本 Char"/>
    <w:basedOn w:val="21"/>
    <w:link w:val="10"/>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3325</Words>
  <Characters>18955</Characters>
  <Lines>157</Lines>
  <Paragraphs>44</Paragraphs>
  <TotalTime>0</TotalTime>
  <ScaleCrop>false</ScaleCrop>
  <LinksUpToDate>false</LinksUpToDate>
  <CharactersWithSpaces>22236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Mia</dc:creator>
  <cp:lastModifiedBy>Administrator</cp:lastModifiedBy>
  <cp:lastPrinted>2017-01-12T06:26:00Z</cp:lastPrinted>
  <dcterms:modified xsi:type="dcterms:W3CDTF">2021-08-17T06:37:28Z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A2F1114D83884F60800D3424D905F5D8</vt:lpwstr>
  </property>
</Properties>
</file>