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小标宋" w:hAnsi="微软雅黑" w:eastAsia="小标宋" w:cs="宋体"/>
          <w:b/>
          <w:bCs/>
          <w:kern w:val="0"/>
          <w:sz w:val="42"/>
          <w:szCs w:val="42"/>
        </w:rPr>
      </w:pPr>
    </w:p>
    <w:p>
      <w:pPr>
        <w:widowControl/>
        <w:spacing w:line="560" w:lineRule="exact"/>
        <w:jc w:val="center"/>
        <w:rPr>
          <w:rFonts w:hint="eastAsia" w:ascii="小标宋" w:hAnsi="微软雅黑" w:eastAsia="小标宋" w:cs="宋体"/>
          <w:b/>
          <w:bCs/>
          <w:kern w:val="0"/>
          <w:sz w:val="42"/>
          <w:szCs w:val="42"/>
        </w:rPr>
      </w:pPr>
      <w:r>
        <w:rPr>
          <w:rFonts w:hint="eastAsia" w:ascii="小标宋" w:hAnsi="微软雅黑" w:eastAsia="小标宋" w:cs="宋体"/>
          <w:b/>
          <w:bCs/>
          <w:kern w:val="0"/>
          <w:sz w:val="42"/>
          <w:szCs w:val="42"/>
        </w:rPr>
        <w:t>温州市鹿城区经济和信息化局202</w:t>
      </w:r>
      <w:r>
        <w:rPr>
          <w:rFonts w:hint="eastAsia" w:ascii="小标宋" w:hAnsi="微软雅黑" w:eastAsia="小标宋" w:cs="宋体"/>
          <w:b/>
          <w:bCs/>
          <w:kern w:val="0"/>
          <w:sz w:val="42"/>
          <w:szCs w:val="42"/>
          <w:lang w:val="en-US" w:eastAsia="zh-CN"/>
        </w:rPr>
        <w:t>3</w:t>
      </w:r>
      <w:r>
        <w:rPr>
          <w:rFonts w:hint="eastAsia" w:ascii="小标宋" w:hAnsi="微软雅黑" w:eastAsia="小标宋" w:cs="宋体"/>
          <w:b/>
          <w:bCs/>
          <w:kern w:val="0"/>
          <w:sz w:val="42"/>
          <w:szCs w:val="42"/>
        </w:rPr>
        <w:t>年政府信息公开工作年度报告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Style w:val="11"/>
          <w:rFonts w:ascii="仿宋" w:hAnsi="仿宋" w:eastAsia="仿宋"/>
          <w:color w:val="000000"/>
          <w:sz w:val="32"/>
          <w:szCs w:val="32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根据《中华人</w:t>
      </w:r>
      <w:bookmarkStart w:id="0" w:name="_GoBack"/>
      <w:bookmarkEnd w:id="0"/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民共和国政府信息公开条例》《浙江省政府信息公开暂行办法》规定和国务院办公厅政府信息与政务公开办公室《关于印发〈中华人民共和国政府信息公开工作年度报告格式〉的通知》（国办公开办函〔</w:t>
      </w:r>
      <w:r>
        <w:rPr>
          <w:rStyle w:val="11"/>
          <w:rFonts w:ascii="仿宋" w:hAnsi="仿宋" w:eastAsia="仿宋"/>
          <w:color w:val="000000"/>
          <w:sz w:val="32"/>
          <w:szCs w:val="32"/>
        </w:rPr>
        <w:t>2021〕30号）要求，特向社会公布202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Style w:val="11"/>
          <w:rFonts w:ascii="仿宋" w:hAnsi="仿宋" w:eastAsia="仿宋"/>
          <w:color w:val="000000"/>
          <w:sz w:val="32"/>
          <w:szCs w:val="32"/>
        </w:rPr>
        <w:t>年度本机关信息公开年度报告。报告中所列数据的统计期限自202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Style w:val="11"/>
          <w:rFonts w:ascii="仿宋" w:hAnsi="仿宋" w:eastAsia="仿宋"/>
          <w:color w:val="000000"/>
          <w:sz w:val="32"/>
          <w:szCs w:val="32"/>
        </w:rPr>
        <w:t>年1月1日至12月31日，报告的电子版可在“温州·鹿城”政府网站（http://www.lucheng.gov.cn）下载。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ascii="黑体" w:hAnsi="黑体" w:eastAsia="黑体"/>
          <w:color w:val="000000"/>
          <w:sz w:val="32"/>
          <w:szCs w:val="32"/>
        </w:rPr>
      </w:pPr>
      <w:r>
        <w:rPr>
          <w:rStyle w:val="11"/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2023年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，鹿城区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经济和信息化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局按照市、区政务公开有关要求，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紧密结合经济和信息化领域的各项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工作，坚持把政府信息公开工作作为促进依法行政的重要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工作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，规范政务公开内容，突出政务公开重点，扎实有序推进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我局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政务公开工作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的稳步开展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ascii="仿宋" w:hAnsi="仿宋" w:eastAsia="仿宋"/>
          <w:color w:val="000000"/>
          <w:sz w:val="32"/>
          <w:szCs w:val="32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（一）主动公开情况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ascii="仿宋" w:hAnsi="仿宋" w:eastAsia="仿宋"/>
          <w:color w:val="000000"/>
          <w:sz w:val="32"/>
          <w:szCs w:val="32"/>
        </w:rPr>
        <w:t>202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Style w:val="11"/>
          <w:rFonts w:ascii="仿宋" w:hAnsi="仿宋" w:eastAsia="仿宋"/>
          <w:color w:val="000000"/>
          <w:sz w:val="32"/>
          <w:szCs w:val="32"/>
        </w:rPr>
        <w:t>年以来，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我局</w:t>
      </w:r>
      <w:r>
        <w:rPr>
          <w:rStyle w:val="11"/>
          <w:rFonts w:ascii="仿宋" w:hAnsi="仿宋" w:eastAsia="仿宋"/>
          <w:color w:val="000000"/>
          <w:sz w:val="32"/>
          <w:szCs w:val="32"/>
        </w:rPr>
        <w:t>认真开展政务公开各项工作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，在深化公开内容、拓宽公开渠道等方面取得了新进展</w:t>
      </w:r>
      <w:r>
        <w:rPr>
          <w:rStyle w:val="11"/>
          <w:rFonts w:ascii="仿宋" w:hAnsi="仿宋" w:eastAsia="仿宋"/>
          <w:color w:val="000000"/>
          <w:sz w:val="32"/>
          <w:szCs w:val="32"/>
        </w:rPr>
        <w:t>。</w:t>
      </w:r>
      <w:r>
        <w:rPr>
          <w:rStyle w:val="11"/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Style w:val="11"/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1"/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年，全局</w:t>
      </w:r>
      <w:r>
        <w:rPr>
          <w:rStyle w:val="11"/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通过政务公开网站主动公开政府信息共</w:t>
      </w:r>
      <w:r>
        <w:rPr>
          <w:rStyle w:val="11"/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Style w:val="11"/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Style w:val="11"/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,紧密围绕经信工作及时维护网站相关栏目。 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（二）依申请公开情况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年，我局高度重视依申请公开工作，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畅通依申请公开受理渠道，坚持依法规范办理，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全力满足群众需求。截止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2023年12月31日，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我局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未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接到依申请公开件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。在下一步工作中，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我局将随时接受公众的申请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和监督，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扎实做好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依申请公开件的回复和办理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工作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（三）政府信息管理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年，我局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继续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延续202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年的做法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完善政务信息常态化管理机制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,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进一步加强政务信息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公开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规范管理。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（四）政府信息公开平台建设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我局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认真贯彻落实鹿城区政务信息公开等相关文件精神，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不断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加强平台的规范建设，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及时办理有关咨询和请求事项，动态更新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公告公示、计划总结等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各项栏目，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规范平台的发布审核程序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val="en-US" w:eastAsia="zh-CN"/>
        </w:rPr>
        <w:t>方便社会公众获取所需要的政府信息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（五）监督保障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1.强化组织领导。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我局高度重视信息公开工作。目前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我局政府信息公开工作由“一把手”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亲自牵头指定专人分管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，办公室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负责组织协调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，各职能科室协助配合，并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安排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专人负责信息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发布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确保了我局信息公开工作的顺利开展。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11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2.丰富公开形式和信息资源</w:t>
      </w:r>
      <w:r>
        <w:rPr>
          <w:rStyle w:val="11"/>
          <w:rFonts w:hint="eastAsia" w:ascii="仿宋" w:hAnsi="仿宋" w:eastAsia="仿宋"/>
          <w:color w:val="000000"/>
          <w:sz w:val="32"/>
          <w:szCs w:val="32"/>
          <w:lang w:eastAsia="zh-CN"/>
        </w:rPr>
        <w:t>。我局</w:t>
      </w:r>
      <w:r>
        <w:rPr>
          <w:rStyle w:val="11"/>
          <w:rFonts w:hint="eastAsia" w:ascii="仿宋" w:hAnsi="仿宋" w:eastAsia="仿宋"/>
          <w:color w:val="000000"/>
          <w:sz w:val="32"/>
          <w:szCs w:val="32"/>
        </w:rPr>
        <w:t>进一步提高门户网站服务功能，方便群众查询了解我局工作，逐步扩大信息公开的覆盖面。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ascii="黑体" w:hAnsi="黑体" w:eastAsia="黑体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二、主动公开政府信息情况</w:t>
      </w:r>
    </w:p>
    <w:tbl>
      <w:tblPr>
        <w:tblStyle w:val="7"/>
        <w:tblW w:w="973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仿宋_GB2312" w:cs="Calibri"/>
                <w:kern w:val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hint="default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default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仿宋_GB2312" w:cs="Calibri"/>
                <w:kern w:val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6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</w:rPr>
      </w:pPr>
    </w:p>
    <w:p>
      <w:pPr>
        <w:pStyle w:val="6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三、收到和处理政府信息公开申请情况</w:t>
      </w:r>
    </w:p>
    <w:tbl>
      <w:tblPr>
        <w:tblStyle w:val="7"/>
        <w:tblW w:w="975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155"/>
        <w:gridCol w:w="2340"/>
        <w:gridCol w:w="755"/>
        <w:gridCol w:w="755"/>
        <w:gridCol w:w="755"/>
        <w:gridCol w:w="755"/>
        <w:gridCol w:w="755"/>
        <w:gridCol w:w="755"/>
        <w:gridCol w:w="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25" w:line="560" w:lineRule="exact"/>
              <w:ind w:firstLine="540" w:firstLineChars="200"/>
              <w:jc w:val="left"/>
              <w:rPr>
                <w:rFonts w:ascii="微软雅黑" w:hAnsi="微软雅黑" w:eastAsia="微软雅黑" w:cs="宋体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7"/>
                <w:szCs w:val="27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540" w:firstLineChars="200"/>
              <w:jc w:val="left"/>
              <w:rPr>
                <w:rFonts w:ascii="微软雅黑" w:hAnsi="微软雅黑" w:eastAsia="微软雅黑" w:cs="宋体"/>
                <w:kern w:val="0"/>
                <w:sz w:val="27"/>
                <w:szCs w:val="27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540" w:firstLineChars="200"/>
              <w:jc w:val="left"/>
              <w:rPr>
                <w:rFonts w:ascii="微软雅黑" w:hAnsi="微软雅黑" w:eastAsia="微软雅黑" w:cs="宋体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before="225" w:line="560" w:lineRule="exact"/>
              <w:ind w:firstLine="540" w:firstLineChars="200"/>
              <w:jc w:val="left"/>
              <w:rPr>
                <w:rFonts w:ascii="微软雅黑" w:hAnsi="微软雅黑" w:eastAsia="微软雅黑" w:cs="宋体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7"/>
                <w:szCs w:val="27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default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default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default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20" w:firstLineChars="200"/>
              <w:jc w:val="center"/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left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480" w:firstLineChars="20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0" w:firstLineChars="20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ind w:firstLine="480" w:firstLineChars="200"/>
        <w:jc w:val="center"/>
        <w:rPr>
          <w:rFonts w:ascii="微软雅黑" w:hAnsi="微软雅黑" w:eastAsia="微软雅黑" w:cs="宋体"/>
          <w:color w:val="000000"/>
          <w:kern w:val="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pStyle w:val="6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四、政府信息公开行政复议、行政诉讼情况</w:t>
      </w:r>
    </w:p>
    <w:tbl>
      <w:tblPr>
        <w:tblStyle w:val="7"/>
        <w:tblW w:w="11220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  <w:jc w:val="center"/>
        </w:trPr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747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  <w:jc w:val="center"/>
        </w:trPr>
        <w:tc>
          <w:tcPr>
            <w:tcW w:w="76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结果维持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结果纠正</w:t>
            </w:r>
          </w:p>
        </w:tc>
        <w:tc>
          <w:tcPr>
            <w:tcW w:w="7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其他结果</w:t>
            </w:r>
          </w:p>
        </w:tc>
        <w:tc>
          <w:tcPr>
            <w:tcW w:w="7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尚未审结</w:t>
            </w:r>
          </w:p>
        </w:tc>
        <w:tc>
          <w:tcPr>
            <w:tcW w:w="7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总计</w:t>
            </w:r>
          </w:p>
        </w:tc>
        <w:tc>
          <w:tcPr>
            <w:tcW w:w="37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未经复议直接起诉</w:t>
            </w:r>
          </w:p>
        </w:tc>
        <w:tc>
          <w:tcPr>
            <w:tcW w:w="37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320" w:firstLineChars="200"/>
              <w:jc w:val="center"/>
              <w:rPr>
                <w:rFonts w:ascii="微软雅黑" w:hAnsi="微软雅黑" w:eastAsia="微软雅黑" w:cs="宋体"/>
                <w:kern w:val="0"/>
                <w:sz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结果维持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结果纠正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其他结果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尚未审结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总计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结果维持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结果纠正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其他结果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尚未审结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微软雅黑" w:hAnsi="微软雅黑" w:eastAsia="微软雅黑" w:cs="宋体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  <w:jc w:val="center"/>
        </w:trPr>
        <w:tc>
          <w:tcPr>
            <w:tcW w:w="7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spacing w:val="7"/>
          <w:sz w:val="20"/>
          <w:szCs w:val="20"/>
          <w:shd w:val="clear" w:fill="FFFFFF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年，我局政府信息公开工作取得了一定成效，但同时也存在一些问题，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政务公开专职人员业务水平有待进一步加强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发布的政务信息质量还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需进一步提升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在下一步的工作中，我们需要改进如下工作：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一要</w:t>
      </w:r>
      <w:r>
        <w:rPr>
          <w:rFonts w:hint="eastAsia" w:ascii="楷体_GB2312" w:hAnsi="仿宋_GB2312" w:eastAsia="楷体_GB2312" w:cs="仿宋_GB2312"/>
          <w:sz w:val="32"/>
          <w:szCs w:val="32"/>
        </w:rPr>
        <w:t>进一步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深化</w:t>
      </w:r>
      <w:r>
        <w:rPr>
          <w:rFonts w:hint="eastAsia" w:ascii="楷体_GB2312" w:hAnsi="仿宋_GB2312" w:eastAsia="楷体_GB2312" w:cs="仿宋_GB2312"/>
          <w:sz w:val="32"/>
          <w:szCs w:val="32"/>
        </w:rPr>
        <w:t>信息公开的内容。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坚持从群众视角着力强化政策发布、解读和回应，提高政民互动水平和为民服务实效，充分发挥政务公开对政府各项工作推进落实的支撑作用，不断提升人民群众获得感和满意度。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二要</w:t>
      </w:r>
      <w:r>
        <w:rPr>
          <w:rFonts w:hint="eastAsia" w:ascii="楷体_GB2312" w:hAnsi="仿宋_GB2312" w:eastAsia="楷体_GB2312" w:cs="仿宋_GB2312"/>
          <w:sz w:val="32"/>
          <w:szCs w:val="32"/>
        </w:rPr>
        <w:t>加强业务学习培训。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要加强宣传，塑造良好的公开氛围，贯彻落实上级关于政府信息公开的要求，开展系列政府信息公开工作培训，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进一步提高局内干部职工对政务公开工作重要性的认识，切实抓好本单位政府信息公开工作。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三要加强政务公开网站栏目建设。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年，我局将进一步加强政务公开栏目建设，整合充实网站信息资源和服务资源，持续做好政务公开各类信息发布等基础工作，确保政务公开工作常态化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为广大企业提供更为完善的信息服务。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六、其他需要报备的事项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本年度本机关未收取政府信息公开处理费，无其他需要报告的事项。</w:t>
      </w:r>
    </w:p>
    <w:p>
      <w:pPr>
        <w:wordWrap/>
        <w:spacing w:line="560" w:lineRule="exact"/>
        <w:ind w:firstLine="645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温州市鹿城区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经济和信息化局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wordWrap/>
        <w:spacing w:line="560" w:lineRule="exact"/>
        <w:ind w:firstLine="645"/>
        <w:jc w:val="center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5Mjk1ZjBkYzU2NjY1NDhiZjM2NWQ3NDYzYzhiZTMifQ=="/>
  </w:docVars>
  <w:rsids>
    <w:rsidRoot w:val="00185CD7"/>
    <w:rsid w:val="00185CD7"/>
    <w:rsid w:val="001A66EB"/>
    <w:rsid w:val="003443C8"/>
    <w:rsid w:val="00802359"/>
    <w:rsid w:val="0091176F"/>
    <w:rsid w:val="00A5008D"/>
    <w:rsid w:val="00B714BB"/>
    <w:rsid w:val="00D64EE3"/>
    <w:rsid w:val="00EC5B77"/>
    <w:rsid w:val="00F60D87"/>
    <w:rsid w:val="00F64016"/>
    <w:rsid w:val="0562299D"/>
    <w:rsid w:val="066F0073"/>
    <w:rsid w:val="06D378E0"/>
    <w:rsid w:val="0711495B"/>
    <w:rsid w:val="083E08C9"/>
    <w:rsid w:val="085A47E7"/>
    <w:rsid w:val="08AF0530"/>
    <w:rsid w:val="08BD5962"/>
    <w:rsid w:val="0A552200"/>
    <w:rsid w:val="0BEA7435"/>
    <w:rsid w:val="0D3A4542"/>
    <w:rsid w:val="0EF663FD"/>
    <w:rsid w:val="10E50428"/>
    <w:rsid w:val="11312B17"/>
    <w:rsid w:val="12C154BC"/>
    <w:rsid w:val="136775E5"/>
    <w:rsid w:val="147B23AE"/>
    <w:rsid w:val="16540992"/>
    <w:rsid w:val="17F953C0"/>
    <w:rsid w:val="1BF94531"/>
    <w:rsid w:val="1CDA58DE"/>
    <w:rsid w:val="1D245D0A"/>
    <w:rsid w:val="1D505927"/>
    <w:rsid w:val="22FA7822"/>
    <w:rsid w:val="26D10E3C"/>
    <w:rsid w:val="278C7E70"/>
    <w:rsid w:val="29455AB0"/>
    <w:rsid w:val="298A1EB4"/>
    <w:rsid w:val="2B667F60"/>
    <w:rsid w:val="2B7D2FDB"/>
    <w:rsid w:val="31407424"/>
    <w:rsid w:val="33420F85"/>
    <w:rsid w:val="342D50A6"/>
    <w:rsid w:val="37803FAB"/>
    <w:rsid w:val="3A152ED8"/>
    <w:rsid w:val="3B806E1C"/>
    <w:rsid w:val="3F3C3A09"/>
    <w:rsid w:val="40123E19"/>
    <w:rsid w:val="43DC3263"/>
    <w:rsid w:val="45C55BAD"/>
    <w:rsid w:val="49671A53"/>
    <w:rsid w:val="4A3B4CA8"/>
    <w:rsid w:val="4C085DCC"/>
    <w:rsid w:val="4EB237AC"/>
    <w:rsid w:val="52597E44"/>
    <w:rsid w:val="5438608E"/>
    <w:rsid w:val="56026953"/>
    <w:rsid w:val="57C55C5E"/>
    <w:rsid w:val="58C93537"/>
    <w:rsid w:val="5AC60250"/>
    <w:rsid w:val="5C730ABA"/>
    <w:rsid w:val="5C944872"/>
    <w:rsid w:val="613D6494"/>
    <w:rsid w:val="62490927"/>
    <w:rsid w:val="62E27E44"/>
    <w:rsid w:val="632B4513"/>
    <w:rsid w:val="678C2D71"/>
    <w:rsid w:val="6C535248"/>
    <w:rsid w:val="6CB55D21"/>
    <w:rsid w:val="73A85028"/>
    <w:rsid w:val="755179A6"/>
    <w:rsid w:val="75BA64B4"/>
    <w:rsid w:val="7CEF2712"/>
    <w:rsid w:val="7D1017B9"/>
    <w:rsid w:val="7D697259"/>
    <w:rsid w:val="7F2A46A1"/>
    <w:rsid w:val="7F9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1">
    <w:name w:val="text-tag"/>
    <w:basedOn w:val="8"/>
    <w:qFormat/>
    <w:uiPriority w:val="0"/>
  </w:style>
  <w:style w:type="paragraph" w:customStyle="1" w:styleId="12">
    <w:name w:val="content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6</Pages>
  <Words>1968</Words>
  <Characters>2060</Characters>
  <Lines>21</Lines>
  <Paragraphs>6</Paragraphs>
  <TotalTime>105</TotalTime>
  <ScaleCrop>false</ScaleCrop>
  <LinksUpToDate>false</LinksUpToDate>
  <CharactersWithSpaces>2106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2022-01-25T07:15:00Z</dcterms:created>
  <dc:creator>manman</dc:creator>
  <cp:lastModifiedBy>Cynthia</cp:lastModifiedBy>
  <cp:lastPrinted>2024-01-15T07:58:00Z</cp:lastPrinted>
  <dcterms:modified xsi:type="dcterms:W3CDTF">2024-01-16T00:58:17Z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91AA4D690AA74B99A7A1DE2760347032_13</vt:lpwstr>
  </property>
</Properties>
</file>