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500" w:lineRule="exact"/>
        <w:jc w:val="center"/>
        <w:rPr>
          <w:rFonts w:ascii="方正小标宋简体" w:hAnsi="宋体" w:eastAsia="方正小标宋简体" w:cs="宋体"/>
          <w:b w:val="0"/>
          <w:kern w:val="0"/>
          <w:szCs w:val="44"/>
        </w:rPr>
      </w:pPr>
      <w:r>
        <w:rPr>
          <w:rFonts w:hint="eastAsia" w:ascii="方正小标宋简体" w:hAnsi="宋体" w:eastAsia="方正小标宋简体" w:cs="宋体"/>
          <w:b w:val="0"/>
          <w:kern w:val="0"/>
          <w:szCs w:val="44"/>
        </w:rPr>
        <w:t>鹿城区打赢蓝天保卫战实施方案</w:t>
      </w:r>
    </w:p>
    <w:p>
      <w:pPr>
        <w:pStyle w:val="2"/>
        <w:spacing w:before="0" w:after="0" w:line="500" w:lineRule="exact"/>
        <w:jc w:val="center"/>
        <w:rPr>
          <w:rFonts w:ascii="方正小标宋简体" w:hAnsi="宋体" w:eastAsia="方正小标宋简体" w:cs="宋体"/>
          <w:b w:val="0"/>
          <w:kern w:val="0"/>
          <w:szCs w:val="44"/>
        </w:rPr>
      </w:pPr>
      <w:r>
        <w:rPr>
          <w:rFonts w:hint="eastAsia" w:ascii="方正小标宋简体" w:hAnsi="宋体" w:eastAsia="方正小标宋简体" w:cs="宋体"/>
          <w:b w:val="0"/>
          <w:kern w:val="0"/>
          <w:szCs w:val="44"/>
        </w:rPr>
        <w:t>(2018-2020)</w:t>
      </w:r>
    </w:p>
    <w:p>
      <w:bookmarkStart w:id="0" w:name="_Toc18201_WPSOffice_Level1"/>
    </w:p>
    <w:p>
      <w:pPr>
        <w:pStyle w:val="3"/>
        <w:autoSpaceDE w:val="0"/>
        <w:autoSpaceDN w:val="0"/>
        <w:adjustRightInd w:val="0"/>
        <w:spacing w:before="0" w:after="0" w:line="580" w:lineRule="exact"/>
        <w:ind w:firstLine="640" w:firstLineChars="200"/>
        <w:rPr>
          <w:rFonts w:ascii="黑体" w:hAnsi="宋体"/>
          <w:b w:val="0"/>
          <w:szCs w:val="32"/>
        </w:rPr>
      </w:pPr>
      <w:r>
        <w:rPr>
          <w:rFonts w:hint="eastAsia"/>
          <w:b w:val="0"/>
          <w:bCs/>
        </w:rPr>
        <w:t>一、总体要求和主要目标</w:t>
      </w:r>
      <w:bookmarkEnd w:id="0"/>
    </w:p>
    <w:p>
      <w:pPr>
        <w:autoSpaceDE w:val="0"/>
        <w:autoSpaceDN w:val="0"/>
        <w:adjustRightInd w:val="0"/>
        <w:snapToGrid w:val="0"/>
        <w:spacing w:line="580" w:lineRule="exact"/>
        <w:ind w:firstLine="643" w:firstLineChars="200"/>
        <w:rPr>
          <w:bCs/>
          <w:color w:val="000000"/>
          <w:szCs w:val="32"/>
        </w:rPr>
      </w:pPr>
      <w:r>
        <w:rPr>
          <w:rFonts w:hint="eastAsia"/>
          <w:b/>
          <w:color w:val="000000"/>
          <w:szCs w:val="32"/>
        </w:rPr>
        <w:t>总体要求：</w:t>
      </w:r>
      <w:r>
        <w:rPr>
          <w:rFonts w:hint="eastAsia"/>
          <w:bCs/>
          <w:color w:val="000000"/>
          <w:szCs w:val="32"/>
        </w:rPr>
        <w:t>以习近平新时代中国特色社会主义思想为指导，全面贯彻中央、省、市部署和要求，坚持全民共治、源头控制、综合治理、重点突破，以推进产业、能源、运输、用地结构调整优化为重点，持续开展大气污染防治行动，全面开展清新空气示范区建设活动，坚决打赢蓝天保卫战，实现环境效益、经济效益和社会效益多赢，为高标准打赢污染防治攻坚战、高质量推进生态文明示范创建行动、实现“两个高水平”奋斗目标提供有力支撑。</w:t>
      </w:r>
    </w:p>
    <w:p>
      <w:pPr>
        <w:autoSpaceDE w:val="0"/>
        <w:autoSpaceDN w:val="0"/>
        <w:adjustRightInd w:val="0"/>
        <w:snapToGrid w:val="0"/>
        <w:spacing w:line="580" w:lineRule="exact"/>
        <w:ind w:firstLine="643" w:firstLineChars="200"/>
        <w:rPr>
          <w:rFonts w:ascii="仿宋_GB2312"/>
          <w:szCs w:val="32"/>
        </w:rPr>
      </w:pPr>
      <w:r>
        <w:rPr>
          <w:rFonts w:hint="eastAsia"/>
          <w:b/>
          <w:color w:val="000000"/>
          <w:szCs w:val="32"/>
        </w:rPr>
        <w:t>主要目标：</w:t>
      </w:r>
      <w:r>
        <w:rPr>
          <w:rFonts w:hint="eastAsia" w:ascii="仿宋_GB2312"/>
          <w:szCs w:val="32"/>
        </w:rPr>
        <w:t>经过3年努力，大幅减少大气主要污染物排放总量，进一步明显降低细颗粒物（PM</w:t>
      </w:r>
      <w:r>
        <w:rPr>
          <w:rFonts w:hint="eastAsia" w:ascii="仿宋_GB2312"/>
          <w:szCs w:val="32"/>
          <w:vertAlign w:val="subscript"/>
        </w:rPr>
        <w:t>2.5</w:t>
      </w:r>
      <w:r>
        <w:rPr>
          <w:rFonts w:hint="eastAsia" w:ascii="仿宋_GB2312"/>
          <w:szCs w:val="32"/>
        </w:rPr>
        <w:t>）浓度，明显减少重污染天数，明显改善环境空气质量，明显增强人民的蓝天幸福感。到2020年，PM</w:t>
      </w:r>
      <w:r>
        <w:rPr>
          <w:rFonts w:hint="eastAsia" w:ascii="仿宋_GB2312"/>
          <w:szCs w:val="32"/>
          <w:vertAlign w:val="subscript"/>
        </w:rPr>
        <w:t>2.5</w:t>
      </w:r>
      <w:r>
        <w:rPr>
          <w:rFonts w:hint="eastAsia" w:ascii="仿宋_GB2312"/>
          <w:szCs w:val="32"/>
        </w:rPr>
        <w:t>平均浓度力争达到35微克/立方米以下，空气质量优良天数比率控制在90%以上，重度及以上污染天气得到有效控制；基本消除重点区域臭气异味，完成省、市下达的县级以上城市建成区清新空气示范区任务，涉气重复信访投诉量比2017年下降30%。</w:t>
      </w:r>
    </w:p>
    <w:p>
      <w:pPr>
        <w:pStyle w:val="3"/>
        <w:autoSpaceDE w:val="0"/>
        <w:autoSpaceDN w:val="0"/>
        <w:adjustRightInd w:val="0"/>
        <w:spacing w:before="0" w:after="0" w:line="580" w:lineRule="exact"/>
        <w:ind w:firstLine="640" w:firstLineChars="200"/>
        <w:rPr>
          <w:b w:val="0"/>
          <w:bCs/>
        </w:rPr>
      </w:pPr>
      <w:bookmarkStart w:id="1" w:name="_Toc16473_WPSOffice_Level1"/>
      <w:r>
        <w:rPr>
          <w:rFonts w:hint="eastAsia"/>
          <w:b w:val="0"/>
          <w:bCs/>
        </w:rPr>
        <w:t>二、主要任务</w:t>
      </w:r>
      <w:bookmarkEnd w:id="1"/>
    </w:p>
    <w:p>
      <w:pPr>
        <w:pStyle w:val="4"/>
        <w:autoSpaceDE w:val="0"/>
        <w:autoSpaceDN w:val="0"/>
        <w:adjustRightInd w:val="0"/>
        <w:spacing w:before="0" w:after="0" w:line="580" w:lineRule="exact"/>
        <w:ind w:firstLine="640" w:firstLineChars="200"/>
        <w:rPr>
          <w:rFonts w:ascii="楷体" w:hAnsi="楷体" w:eastAsia="楷体" w:cs="楷体"/>
          <w:b w:val="0"/>
          <w:bCs/>
        </w:rPr>
      </w:pPr>
      <w:bookmarkStart w:id="2" w:name="_Toc29476_WPSOffice_Level2"/>
      <w:r>
        <w:rPr>
          <w:rFonts w:hint="eastAsia" w:ascii="楷体" w:hAnsi="楷体" w:eastAsia="楷体" w:cs="楷体"/>
          <w:b w:val="0"/>
          <w:bCs/>
        </w:rPr>
        <w:t>（一）优化调整产业结构，淘汰落后产能</w:t>
      </w:r>
      <w:bookmarkEnd w:id="2"/>
    </w:p>
    <w:p>
      <w:pPr>
        <w:autoSpaceDE w:val="0"/>
        <w:autoSpaceDN w:val="0"/>
        <w:adjustRightInd w:val="0"/>
        <w:snapToGrid w:val="0"/>
        <w:spacing w:line="580" w:lineRule="exact"/>
        <w:ind w:firstLine="643" w:firstLineChars="200"/>
        <w:rPr>
          <w:bCs/>
          <w:color w:val="000000"/>
          <w:szCs w:val="32"/>
        </w:rPr>
      </w:pPr>
      <w:r>
        <w:rPr>
          <w:rFonts w:hint="eastAsia" w:ascii="仿宋_GB2312"/>
          <w:b/>
          <w:bCs/>
          <w:szCs w:val="32"/>
        </w:rPr>
        <w:t>1.优化区域产业布局</w:t>
      </w:r>
      <w:r>
        <w:rPr>
          <w:rFonts w:hint="eastAsia" w:ascii="仿宋_GB2312"/>
          <w:szCs w:val="32"/>
        </w:rPr>
        <w:t>。</w:t>
      </w:r>
      <w:r>
        <w:rPr>
          <w:rFonts w:hint="eastAsia"/>
          <w:bCs/>
          <w:color w:val="000000"/>
          <w:szCs w:val="32"/>
        </w:rPr>
        <w:t>加快城市建成区重污染企业关停、搬迁、改造或退出，推动实施温州市鹿城东瓯染料中间体厂、温州市东开化工试剂厂、温州市亿凯化工有限公司等一批化工重污染企业搬迁工程。禁止新增化工园区。已经明确的退城企业、要明确时间表，逾期不退城的予以停产。深化“亩产论英雄”改革。全面开展企业综合评价，推进产业和区域综合评价，建立健全用能、排污等要素优化配置机制。（责任单位：区发改局牵头，区经信局、市生态环境局鹿城分局等参与，各街镇负责落实。以下均需各街镇负责落实，不再列出。）</w:t>
      </w:r>
    </w:p>
    <w:p>
      <w:pPr>
        <w:autoSpaceDE w:val="0"/>
        <w:autoSpaceDN w:val="0"/>
        <w:adjustRightInd w:val="0"/>
        <w:snapToGrid w:val="0"/>
        <w:spacing w:line="580" w:lineRule="exact"/>
        <w:ind w:firstLine="643" w:firstLineChars="200"/>
        <w:rPr>
          <w:bCs/>
          <w:color w:val="000000"/>
          <w:szCs w:val="32"/>
        </w:rPr>
      </w:pPr>
      <w:r>
        <w:rPr>
          <w:rFonts w:hint="eastAsia" w:ascii="仿宋_GB2312"/>
          <w:b/>
          <w:bCs/>
          <w:szCs w:val="32"/>
        </w:rPr>
        <w:t>2.加强环境准入</w:t>
      </w:r>
      <w:r>
        <w:rPr>
          <w:rFonts w:hint="eastAsia"/>
          <w:bCs/>
          <w:color w:val="000000"/>
          <w:szCs w:val="32"/>
        </w:rPr>
        <w:t>。完成生态保护红线、环境质量底线、资源利用上线、环境准入清单编制工作，明确禁止和限制发展的行业、生产工艺和产业目录。修订完善高耗能、高污染和资源型行业准入条件，制订更严格的产业准入门槛。积极推行区域、规划环境影响评价，新、改、扩建化工、石化、建材、有色金属、制鞋、包装印刷、工业涂装、合成革等项目的环境影响评价，应满足区域、规划环评要求。（责任单位：市生态环境局鹿城分局牵头，区发改局、区经信局、市自然资源和规划局鹿城分局等参与。）</w:t>
      </w:r>
    </w:p>
    <w:p>
      <w:pPr>
        <w:autoSpaceDE w:val="0"/>
        <w:autoSpaceDN w:val="0"/>
        <w:adjustRightInd w:val="0"/>
        <w:snapToGrid w:val="0"/>
        <w:spacing w:line="580" w:lineRule="exact"/>
        <w:ind w:firstLine="643" w:firstLineChars="200"/>
        <w:rPr>
          <w:rFonts w:ascii="楷体" w:hAnsi="楷体" w:eastAsia="楷体" w:cs="楷体"/>
          <w:bCs/>
          <w:color w:val="000000"/>
          <w:szCs w:val="32"/>
        </w:rPr>
      </w:pPr>
      <w:r>
        <w:rPr>
          <w:rFonts w:hint="eastAsia" w:ascii="仿宋_GB2312"/>
          <w:b/>
          <w:bCs/>
          <w:szCs w:val="32"/>
        </w:rPr>
        <w:t>3.严控“两高”行业产能</w:t>
      </w:r>
      <w:r>
        <w:rPr>
          <w:rFonts w:hint="eastAsia"/>
          <w:bCs/>
          <w:color w:val="000000"/>
          <w:szCs w:val="32"/>
        </w:rPr>
        <w:t>。严禁新增钢铁、焦化、电解铝、铸造、水泥和平板玻璃等产能；严格执行钢铁、水泥、平板玻璃等行业产能置换实施办法；新、改、扩建涉及大宗物料运输的建设项目，原则上不得采用公路运输。加大落后产能淘汰和过剩产能压减力度。严格执行质量、环保、能耗、安全等法规标准和《产业结构调整指导目录》。严防“地条钢”死灰复燃。</w:t>
      </w:r>
      <w:r>
        <w:rPr>
          <w:rFonts w:hint="eastAsia" w:ascii="仿宋_GB2312"/>
          <w:color w:val="000000"/>
          <w:szCs w:val="32"/>
        </w:rPr>
        <w:t>（责任单位：区发改局、区经信局牵头，区财政局、区应急管理局、区市场监管局、</w:t>
      </w:r>
      <w:r>
        <w:rPr>
          <w:rFonts w:hint="eastAsia" w:ascii="仿宋_GB2312"/>
          <w:szCs w:val="32"/>
        </w:rPr>
        <w:t>市生态环境局鹿城分局、</w:t>
      </w:r>
      <w:r>
        <w:rPr>
          <w:rFonts w:hint="eastAsia" w:ascii="仿宋_GB2312"/>
          <w:color w:val="000000"/>
          <w:szCs w:val="32"/>
        </w:rPr>
        <w:t>市交警支队一、二大队等参与。）</w:t>
      </w:r>
    </w:p>
    <w:p>
      <w:pPr>
        <w:autoSpaceDE w:val="0"/>
        <w:autoSpaceDN w:val="0"/>
        <w:adjustRightInd w:val="0"/>
        <w:snapToGrid w:val="0"/>
        <w:spacing w:line="580" w:lineRule="exact"/>
        <w:ind w:firstLine="643" w:firstLineChars="200"/>
        <w:rPr>
          <w:rFonts w:ascii="仿宋_GB2312"/>
          <w:color w:val="000000"/>
          <w:szCs w:val="32"/>
        </w:rPr>
      </w:pPr>
      <w:r>
        <w:rPr>
          <w:rFonts w:hint="eastAsia" w:ascii="仿宋_GB2312"/>
          <w:b/>
          <w:bCs/>
          <w:szCs w:val="32"/>
        </w:rPr>
        <w:t>4.全面整治“散乱污”企业</w:t>
      </w:r>
      <w:r>
        <w:rPr>
          <w:rFonts w:hint="eastAsia"/>
          <w:bCs/>
          <w:color w:val="000000"/>
          <w:szCs w:val="32"/>
        </w:rPr>
        <w:t>。</w:t>
      </w:r>
      <w:r>
        <w:rPr>
          <w:rFonts w:hint="eastAsia" w:ascii="仿宋_GB2312"/>
          <w:szCs w:val="32"/>
        </w:rPr>
        <w:t>全面整治“散乱污”企业及集群。建立实施乡镇（街道）排查巡查，区政府牵头整治的综合整治机制。各街镇要根据产业政策、功能布局，以及土地、环保、质量、安全、能耗等法定要求，开展“散乱污”企业排查，建立“散乱污”企业台账，区政府要组织相关部门开展综合整治，执行市级部门的政策指导。综合整治要按照“先停后治”的原则，实施分类处置。列入关停取缔类的，基本做到“两断三清”（即切断工业用水、用电，清除原料、产品、生产设备）；列入整合搬迁类的，按照产业发展规模化、现代化的原则，搬迁至工业园区并实施升级改造；列入升级改造类的，树立行业标杆，实施清洁生产技术改造，全面提升污染治理水平。2018年完成30家涉挥发性有机物排放的“散乱污”企业清理整顿任务，2019年基本完成整治任务。</w:t>
      </w:r>
      <w:r>
        <w:rPr>
          <w:rFonts w:hint="eastAsia" w:ascii="仿宋_GB2312"/>
          <w:color w:val="000000"/>
          <w:szCs w:val="32"/>
        </w:rPr>
        <w:t>（责任单位：市生态环境局鹿城分局、区经信局牵头，区发改局、区市场监管局、市自然资源和规划局鹿城分局等参与。）</w:t>
      </w:r>
    </w:p>
    <w:p>
      <w:pPr>
        <w:autoSpaceDE w:val="0"/>
        <w:autoSpaceDN w:val="0"/>
        <w:adjustRightInd w:val="0"/>
        <w:spacing w:line="580" w:lineRule="exact"/>
        <w:ind w:firstLine="643" w:firstLineChars="200"/>
        <w:rPr>
          <w:rFonts w:ascii="楷体" w:hAnsi="楷体" w:eastAsia="楷体" w:cs="楷体"/>
          <w:bCs/>
          <w:color w:val="000000"/>
          <w:szCs w:val="32"/>
        </w:rPr>
      </w:pPr>
      <w:r>
        <w:rPr>
          <w:rFonts w:hint="eastAsia" w:ascii="仿宋_GB2312"/>
          <w:b/>
          <w:bCs/>
          <w:szCs w:val="32"/>
        </w:rPr>
        <w:t>5.实施园区改造提升</w:t>
      </w:r>
      <w:r>
        <w:rPr>
          <w:rFonts w:hint="eastAsia"/>
          <w:bCs/>
          <w:color w:val="000000"/>
          <w:szCs w:val="32"/>
        </w:rPr>
        <w:t>。推进轻工业园区循环化改造、规范发展和提质增效。大力推进企业清洁生产。对鹿城区的时尚智造区(丰门街道和双屿街道辖区范围的中国鞋都一、二、三期和总部经济园以及仰义沿江工业区)、现代都市工业区(包括炬光园为中心的南郊片区)、先进装备制造区(包括轻工产业园区、含沙头分园、藤桥服饰园区)等重点工业片区(产业集聚区)进行集中整治，限期进行达标改造，减少工业集聚区污染。完善园区集中供热设施，积极推广集中供热。有条件的工业集聚区建设集中喷涂工程中心，配备高效治污设施，替代企业独立喷涂工序。（责任单位：区发改局、区经信局、市生态环境局鹿城分局牵头，区科技局等参与。）</w:t>
      </w:r>
    </w:p>
    <w:p>
      <w:pPr>
        <w:autoSpaceDE w:val="0"/>
        <w:autoSpaceDN w:val="0"/>
        <w:adjustRightInd w:val="0"/>
        <w:snapToGrid w:val="0"/>
        <w:spacing w:line="580" w:lineRule="exact"/>
        <w:ind w:firstLine="643" w:firstLineChars="200"/>
        <w:rPr>
          <w:rFonts w:ascii="楷体" w:hAnsi="楷体" w:eastAsia="楷体" w:cs="楷体"/>
          <w:bCs/>
          <w:color w:val="000000"/>
          <w:szCs w:val="32"/>
        </w:rPr>
      </w:pPr>
      <w:r>
        <w:rPr>
          <w:rFonts w:hint="eastAsia" w:ascii="仿宋_GB2312"/>
          <w:b/>
          <w:bCs/>
          <w:szCs w:val="32"/>
        </w:rPr>
        <w:t>6.大力培育绿色环保产业</w:t>
      </w:r>
      <w:r>
        <w:rPr>
          <w:rFonts w:hint="eastAsia"/>
          <w:bCs/>
          <w:color w:val="000000"/>
          <w:szCs w:val="32"/>
        </w:rPr>
        <w:t>。壮大绿色产业规模，发展节能环保产业、清洁生产产业、清洁能源产业，培育发展新动能。积极推行节能环保整体解决方案，加快发展合同能源管理、环境污染第三方治理和社会化监测等新业态，培育一批高水平、专业化节能环保服务公司。（责任单位：区发改局、市生态环境局鹿城分局牵头，区经信局、区科技局等参与。）</w:t>
      </w:r>
    </w:p>
    <w:p>
      <w:pPr>
        <w:pStyle w:val="4"/>
        <w:autoSpaceDE w:val="0"/>
        <w:autoSpaceDN w:val="0"/>
        <w:adjustRightInd w:val="0"/>
        <w:spacing w:before="0" w:after="0" w:line="580" w:lineRule="exact"/>
        <w:ind w:firstLine="640" w:firstLineChars="200"/>
        <w:rPr>
          <w:rFonts w:ascii="楷体" w:hAnsi="楷体" w:eastAsia="楷体" w:cs="楷体"/>
          <w:b w:val="0"/>
          <w:bCs/>
        </w:rPr>
      </w:pPr>
      <w:bookmarkStart w:id="3" w:name="_Toc20752_WPSOffice_Level2"/>
      <w:r>
        <w:rPr>
          <w:rFonts w:hint="eastAsia" w:ascii="楷体" w:hAnsi="楷体" w:eastAsia="楷体" w:cs="楷体"/>
          <w:b w:val="0"/>
          <w:bCs/>
        </w:rPr>
        <w:t>（二）深化能源结构调整，推进清洁利用</w:t>
      </w:r>
      <w:bookmarkEnd w:id="3"/>
    </w:p>
    <w:p>
      <w:pPr>
        <w:autoSpaceDE w:val="0"/>
        <w:autoSpaceDN w:val="0"/>
        <w:adjustRightInd w:val="0"/>
        <w:snapToGrid w:val="0"/>
        <w:spacing w:line="580" w:lineRule="exact"/>
        <w:ind w:firstLine="643" w:firstLineChars="200"/>
        <w:rPr>
          <w:bCs/>
          <w:color w:val="000000"/>
          <w:szCs w:val="32"/>
        </w:rPr>
      </w:pPr>
      <w:r>
        <w:rPr>
          <w:rFonts w:hint="eastAsia" w:ascii="仿宋_GB2312"/>
          <w:b/>
          <w:bCs/>
          <w:szCs w:val="32"/>
        </w:rPr>
        <w:t>1.积极发展清洁能源</w:t>
      </w:r>
      <w:r>
        <w:rPr>
          <w:rFonts w:hint="eastAsia"/>
          <w:bCs/>
          <w:color w:val="000000"/>
          <w:szCs w:val="32"/>
        </w:rPr>
        <w:t>。加快落实国家、省相关安排部署，大力发展天然气等清洁能源。按照“宜气则气”“宜电则电”原则，积极引导用能企业实施清洁能源替代。进一步完善城乡配气管网建设，提高天然气利用水平，提升非化石能源占能源消费总量比重。在具备资源条件的地方，积极发展生物质热电联产、生物质成型燃料锅炉及生物天然气。原则上不再新建天然气热电联产和天然气化工项目。继续落实好优先发电和购电制度，保证区内可再生能源发电全额保障性收购。（责任单位：区发改局牵头，区财政局等参与。）</w:t>
      </w:r>
    </w:p>
    <w:p>
      <w:pPr>
        <w:autoSpaceDE w:val="0"/>
        <w:autoSpaceDN w:val="0"/>
        <w:adjustRightInd w:val="0"/>
        <w:snapToGrid w:val="0"/>
        <w:spacing w:line="580" w:lineRule="exact"/>
        <w:ind w:firstLine="643" w:firstLineChars="200"/>
        <w:rPr>
          <w:rFonts w:ascii="仿宋_GB2312"/>
          <w:color w:val="000000"/>
          <w:szCs w:val="32"/>
        </w:rPr>
      </w:pPr>
      <w:r>
        <w:rPr>
          <w:rFonts w:hint="eastAsia" w:ascii="仿宋_GB2312"/>
          <w:b/>
          <w:bCs/>
          <w:szCs w:val="32"/>
        </w:rPr>
        <w:t>2.控制煤炭消费总量</w:t>
      </w:r>
      <w:r>
        <w:rPr>
          <w:rFonts w:hint="eastAsia"/>
          <w:bCs/>
          <w:color w:val="000000"/>
          <w:szCs w:val="32"/>
        </w:rPr>
        <w:t>。</w:t>
      </w:r>
      <w:r>
        <w:rPr>
          <w:rFonts w:hint="eastAsia" w:ascii="仿宋_GB2312"/>
          <w:szCs w:val="32"/>
        </w:rPr>
        <w:t>严把耗煤新项目准入关，实施煤炭减量替代。不再新建35蒸吨/小时及以下燃煤锅炉。到2020年，全区煤炭占能源消费总量比重下降到42.8%以下，全区煤炭消费总量比2015年下降5%。按照煤炭集中使用、清洁利用的原则，重点削减非电力用煤，提高电力用煤比例，2020年全区发电和集中供热用煤占煤炭消费总量比重达到市下达的要求。继续推进电能替代燃煤和燃油，替代规模达到市下达的要求。</w:t>
      </w:r>
      <w:r>
        <w:rPr>
          <w:rFonts w:hint="eastAsia" w:ascii="仿宋_GB2312"/>
          <w:color w:val="000000"/>
          <w:szCs w:val="32"/>
        </w:rPr>
        <w:t>（责任单位：区发改局牵头，市生态环境局鹿城分局、鹿城供电分局等参与。）</w:t>
      </w:r>
    </w:p>
    <w:p>
      <w:pPr>
        <w:autoSpaceDE w:val="0"/>
        <w:autoSpaceDN w:val="0"/>
        <w:adjustRightInd w:val="0"/>
        <w:snapToGrid w:val="0"/>
        <w:spacing w:line="580" w:lineRule="exact"/>
        <w:ind w:firstLine="643" w:firstLineChars="200"/>
        <w:rPr>
          <w:rFonts w:ascii="仿宋_GB2312"/>
          <w:color w:val="000000"/>
          <w:szCs w:val="32"/>
        </w:rPr>
      </w:pPr>
      <w:r>
        <w:rPr>
          <w:rFonts w:hint="eastAsia" w:ascii="仿宋_GB2312"/>
          <w:b/>
          <w:bCs/>
          <w:szCs w:val="32"/>
        </w:rPr>
        <w:t>3.严格控制燃煤机组新增装机规模</w:t>
      </w:r>
      <w:r>
        <w:rPr>
          <w:rFonts w:hint="eastAsia"/>
          <w:bCs/>
          <w:color w:val="000000"/>
          <w:szCs w:val="32"/>
        </w:rPr>
        <w:t>。</w:t>
      </w:r>
      <w:r>
        <w:rPr>
          <w:rFonts w:hint="eastAsia" w:ascii="仿宋_GB2312"/>
          <w:szCs w:val="32"/>
        </w:rPr>
        <w:t>新增用电量主要依靠区域内清洁能源发电和外送电满足。在保障电力系统安全稳定运行的前提下，到2020年，接受外送电量比例达到38%以上。</w:t>
      </w:r>
      <w:r>
        <w:rPr>
          <w:rFonts w:hint="eastAsia" w:ascii="仿宋_GB2312"/>
          <w:color w:val="000000"/>
          <w:szCs w:val="32"/>
        </w:rPr>
        <w:t>（责任单位：区发改局牵头，市生态环境局鹿城分局、鹿城供电分局等参与。）</w:t>
      </w:r>
    </w:p>
    <w:p>
      <w:pPr>
        <w:autoSpaceDE w:val="0"/>
        <w:autoSpaceDN w:val="0"/>
        <w:adjustRightInd w:val="0"/>
        <w:snapToGrid w:val="0"/>
        <w:spacing w:line="580" w:lineRule="exact"/>
        <w:ind w:firstLine="643" w:firstLineChars="200"/>
        <w:rPr>
          <w:rFonts w:ascii="仿宋_GB2312"/>
          <w:color w:val="000000"/>
          <w:szCs w:val="32"/>
        </w:rPr>
      </w:pPr>
      <w:r>
        <w:rPr>
          <w:rFonts w:hint="eastAsia" w:ascii="仿宋_GB2312"/>
          <w:b/>
          <w:bCs/>
          <w:szCs w:val="32"/>
        </w:rPr>
        <w:t>4.开展燃煤锅炉综合整治</w:t>
      </w:r>
      <w:r>
        <w:rPr>
          <w:rFonts w:hint="eastAsia"/>
          <w:bCs/>
          <w:color w:val="000000"/>
          <w:szCs w:val="32"/>
        </w:rPr>
        <w:t>。</w:t>
      </w:r>
      <w:r>
        <w:rPr>
          <w:rFonts w:hint="eastAsia" w:ascii="仿宋_GB2312"/>
          <w:szCs w:val="32"/>
        </w:rPr>
        <w:t>扩大禁燃区建设范围，加大燃煤小锅炉淘汰力度。根据《温州市人民政府关于扩大市区高污染燃料禁燃区范围的通知》要求，鹿城区高污染燃料禁燃区范围扩大至除藤桥镇和山福镇以外的全部区域。全面淘汰10蒸吨/小时及以下燃煤锅炉，城市建成区基本淘汰茶水炉、经营性炉灶、储粮烘干设备等燃煤设施。全区基本淘汰10蒸吨/小时以上35蒸吨/小时以下的燃煤锅炉。35蒸吨/小时及以上高污染燃料锅炉完成节能和超低排放改造。燃气锅炉基本完成低氮改造；城市建成区生物质锅炉实施超低排放改造。</w:t>
      </w:r>
      <w:r>
        <w:rPr>
          <w:rFonts w:hint="eastAsia" w:ascii="仿宋_GB2312"/>
          <w:color w:val="000000"/>
          <w:szCs w:val="32"/>
        </w:rPr>
        <w:t>（责任单位：区发改局、区市场监管局、市生态环境局鹿城分局牵头，区财政局等参与。）</w:t>
      </w:r>
    </w:p>
    <w:p>
      <w:pPr>
        <w:autoSpaceDE w:val="0"/>
        <w:autoSpaceDN w:val="0"/>
        <w:adjustRightInd w:val="0"/>
        <w:snapToGrid w:val="0"/>
        <w:spacing w:line="580" w:lineRule="exact"/>
        <w:ind w:firstLine="643" w:firstLineChars="200"/>
        <w:rPr>
          <w:rFonts w:ascii="楷体" w:hAnsi="楷体" w:eastAsia="楷体" w:cs="楷体"/>
          <w:bCs/>
          <w:color w:val="000000"/>
          <w:szCs w:val="32"/>
        </w:rPr>
      </w:pPr>
      <w:r>
        <w:rPr>
          <w:rFonts w:hint="eastAsia" w:ascii="仿宋_GB2312"/>
          <w:b/>
          <w:bCs/>
          <w:szCs w:val="32"/>
        </w:rPr>
        <w:t>5.提高能源利用效率</w:t>
      </w:r>
      <w:r>
        <w:rPr>
          <w:rFonts w:hint="eastAsia"/>
          <w:bCs/>
          <w:color w:val="000000"/>
          <w:szCs w:val="32"/>
        </w:rPr>
        <w:t>。加强能源消费总量和能源消费强度双控。大力开发、推广节能高效技术和产品，实现重点用能行业、设备节能标准全覆盖。新建高耗能项目单位产品（产值）能耗要达到国际先进水平。因地制宜提高建筑节能标准，加大绿色建筑推广力度，城镇新建民用建筑全面执行绿色建筑标准。加强公共建筑用能监管，推进既有公共建筑、居住建筑节能改造。鼓励开展农村住房节能改造。进一步健全能源计量体系。（责任单位：区发改局、区住建局、区市场监管局牵头，区经信局、区综合行政执法局等参与。）</w:t>
      </w:r>
    </w:p>
    <w:p>
      <w:pPr>
        <w:pStyle w:val="4"/>
        <w:autoSpaceDE w:val="0"/>
        <w:autoSpaceDN w:val="0"/>
        <w:adjustRightInd w:val="0"/>
        <w:spacing w:before="0" w:after="0" w:line="580" w:lineRule="exact"/>
        <w:ind w:firstLine="640" w:firstLineChars="200"/>
        <w:rPr>
          <w:rFonts w:ascii="楷体" w:hAnsi="楷体" w:eastAsia="楷体" w:cs="楷体"/>
          <w:b w:val="0"/>
          <w:bCs/>
        </w:rPr>
      </w:pPr>
      <w:bookmarkStart w:id="4" w:name="_Toc7828_WPSOffice_Level2"/>
      <w:r>
        <w:rPr>
          <w:rFonts w:hint="eastAsia" w:ascii="楷体" w:hAnsi="楷体" w:eastAsia="楷体" w:cs="楷体"/>
          <w:b w:val="0"/>
          <w:bCs/>
        </w:rPr>
        <w:t>（三）发展绿色交通，推进洁净运输</w:t>
      </w:r>
      <w:bookmarkEnd w:id="4"/>
    </w:p>
    <w:p>
      <w:pPr>
        <w:autoSpaceDE w:val="0"/>
        <w:autoSpaceDN w:val="0"/>
        <w:adjustRightInd w:val="0"/>
        <w:snapToGrid w:val="0"/>
        <w:spacing w:line="580" w:lineRule="exact"/>
        <w:ind w:firstLine="643" w:firstLineChars="200"/>
        <w:rPr>
          <w:rFonts w:ascii="仿宋_GB2312"/>
          <w:color w:val="000000"/>
          <w:szCs w:val="32"/>
        </w:rPr>
      </w:pPr>
      <w:r>
        <w:rPr>
          <w:rFonts w:hint="eastAsia" w:ascii="仿宋_GB2312"/>
          <w:b/>
          <w:bCs/>
          <w:szCs w:val="32"/>
        </w:rPr>
        <w:t>1.加快车船结构升级</w:t>
      </w:r>
      <w:r>
        <w:rPr>
          <w:rFonts w:hint="eastAsia"/>
          <w:bCs/>
          <w:color w:val="000000"/>
          <w:szCs w:val="32"/>
        </w:rPr>
        <w:t>。</w:t>
      </w:r>
      <w:r>
        <w:rPr>
          <w:rFonts w:hint="eastAsia" w:ascii="仿宋_GB2312"/>
          <w:szCs w:val="32"/>
        </w:rPr>
        <w:t>推广使用新能源汽车。加快推进城市建成区新增和更新的公交、环卫、邮政、出租、通勤、轻型物流配送车辆使用新能源或清洁能源汽车。在物流园、产业园、工业园、大型商业购物中心、农贸批发市场等物流集散地建设集中式充电桩和快速充电桩。为承担物流配送的新能源车辆在城市通行提供便利。到2020年，完成市里下达的充电（加气）站、充电桩建设任务。</w:t>
      </w:r>
      <w:r>
        <w:rPr>
          <w:rFonts w:hint="eastAsia" w:ascii="仿宋_GB2312"/>
          <w:color w:val="000000"/>
          <w:szCs w:val="32"/>
        </w:rPr>
        <w:t>（责任单位：区发改局牵头，区财政局、区住建局、区综合行政执法局、市自然资源和规划局鹿城分局、市生态环境局鹿城分局、鹿城供电分局、温州瓯江海事处、</w:t>
      </w:r>
      <w:r>
        <w:rPr>
          <w:rFonts w:hint="eastAsia" w:ascii="仿宋_GB2312"/>
          <w:szCs w:val="32"/>
        </w:rPr>
        <w:t>邮政鹿城分局、</w:t>
      </w:r>
      <w:r>
        <w:rPr>
          <w:rFonts w:hint="eastAsia" w:ascii="仿宋_GB2312"/>
          <w:color w:val="000000"/>
          <w:szCs w:val="32"/>
        </w:rPr>
        <w:t>市港航执法一大队等参与。）</w:t>
      </w:r>
    </w:p>
    <w:p>
      <w:pPr>
        <w:autoSpaceDE w:val="0"/>
        <w:autoSpaceDN w:val="0"/>
        <w:adjustRightInd w:val="0"/>
        <w:snapToGrid w:val="0"/>
        <w:spacing w:line="580" w:lineRule="exact"/>
        <w:ind w:firstLine="643" w:firstLineChars="200"/>
        <w:rPr>
          <w:rFonts w:ascii="楷体" w:hAnsi="楷体" w:eastAsia="楷体" w:cs="楷体"/>
          <w:bCs/>
          <w:color w:val="000000"/>
          <w:szCs w:val="32"/>
        </w:rPr>
      </w:pPr>
      <w:r>
        <w:rPr>
          <w:rFonts w:hint="eastAsia" w:ascii="仿宋_GB2312"/>
          <w:b/>
          <w:bCs/>
          <w:szCs w:val="32"/>
        </w:rPr>
        <w:t>2.大力淘汰老旧车辆</w:t>
      </w:r>
      <w:r>
        <w:rPr>
          <w:rFonts w:hint="eastAsia"/>
          <w:bCs/>
          <w:color w:val="000000"/>
          <w:szCs w:val="32"/>
        </w:rPr>
        <w:t>。采取经济补偿、限制使用、严格超标排放监管等方式，大力推进国三及以下排放标准营运柴油货车提前淘汰更新，</w:t>
      </w:r>
      <w:r>
        <w:rPr>
          <w:rFonts w:hint="eastAsia" w:ascii="仿宋_GB2312"/>
          <w:szCs w:val="32"/>
        </w:rPr>
        <w:t>加快淘汰采用稀薄燃烧技术和“油改气”的老旧燃气车辆。对达到强制报废标准、连续三个检验周期未检验，以及经维修或采用污染控制技术仍无法达标排放的车辆，依法实施强制报废。制定营运柴油货车和燃气车辆提前淘汰更新目标。2019年7月1日起，全区实施国Ⅵ排放标准。推广使用达到国Ⅵ排放标准的燃气车辆。</w:t>
      </w:r>
      <w:r>
        <w:rPr>
          <w:rFonts w:hint="eastAsia" w:ascii="仿宋_GB2312"/>
          <w:color w:val="000000"/>
          <w:szCs w:val="32"/>
        </w:rPr>
        <w:t>（责任单位：市交警支队一、二大队牵头，区发改局、区财政局、区商务局、市生态环境局鹿城分局等参与。）</w:t>
      </w:r>
    </w:p>
    <w:p>
      <w:pPr>
        <w:autoSpaceDE w:val="0"/>
        <w:autoSpaceDN w:val="0"/>
        <w:adjustRightInd w:val="0"/>
        <w:snapToGrid w:val="0"/>
        <w:spacing w:line="580" w:lineRule="exact"/>
        <w:ind w:firstLine="643" w:firstLineChars="200"/>
        <w:rPr>
          <w:rFonts w:ascii="楷体" w:hAnsi="楷体" w:eastAsia="楷体" w:cs="楷体"/>
          <w:bCs/>
          <w:color w:val="000000"/>
          <w:szCs w:val="32"/>
        </w:rPr>
      </w:pPr>
      <w:r>
        <w:rPr>
          <w:rFonts w:hint="eastAsia" w:ascii="仿宋_GB2312"/>
          <w:b/>
          <w:bCs/>
          <w:szCs w:val="32"/>
        </w:rPr>
        <w:t>3.推进船舶更新升级</w:t>
      </w:r>
      <w:r>
        <w:rPr>
          <w:rFonts w:hint="eastAsia"/>
          <w:bCs/>
          <w:color w:val="000000"/>
          <w:szCs w:val="32"/>
        </w:rPr>
        <w:t>。</w:t>
      </w:r>
      <w:r>
        <w:rPr>
          <w:rFonts w:hint="eastAsia" w:ascii="仿宋_GB2312"/>
          <w:szCs w:val="32"/>
        </w:rPr>
        <w:t>2018年7月1日起，全面实施新生产船舶发动机第一阶段排放标准。推广使用电、天然气等新能源或清洁能源船舶，推进沿岸配套能源供给站建设。内河应采取禁限行等措施，限制高排放船舶使用，鼓励淘汰使用20年以上的内河航运船舶，并制定相应经济补偿方案同步推进实施。</w:t>
      </w:r>
      <w:r>
        <w:rPr>
          <w:rFonts w:hint="eastAsia" w:ascii="仿宋_GB2312"/>
          <w:color w:val="000000"/>
          <w:szCs w:val="32"/>
        </w:rPr>
        <w:t>（责任单位：</w:t>
      </w:r>
      <w:r>
        <w:rPr>
          <w:rFonts w:hint="eastAsia" w:ascii="仿宋_GB2312"/>
          <w:color w:val="333333"/>
          <w:szCs w:val="32"/>
        </w:rPr>
        <w:t>温州瓯江海事处</w:t>
      </w:r>
      <w:r>
        <w:rPr>
          <w:rFonts w:hint="eastAsia" w:ascii="仿宋_GB2312"/>
          <w:color w:val="000000"/>
          <w:szCs w:val="32"/>
        </w:rPr>
        <w:t>牵头，</w:t>
      </w:r>
      <w:r>
        <w:rPr>
          <w:rFonts w:hint="eastAsia" w:ascii="仿宋_GB2312"/>
          <w:szCs w:val="32"/>
        </w:rPr>
        <w:t>区发改局、</w:t>
      </w:r>
      <w:r>
        <w:rPr>
          <w:rFonts w:hint="eastAsia" w:ascii="仿宋_GB2312"/>
          <w:color w:val="000000"/>
          <w:szCs w:val="32"/>
        </w:rPr>
        <w:t>区经信局、</w:t>
      </w:r>
      <w:r>
        <w:rPr>
          <w:rFonts w:hint="eastAsia" w:ascii="仿宋_GB2312"/>
          <w:szCs w:val="32"/>
        </w:rPr>
        <w:t>区财政局、区交通运输局、</w:t>
      </w:r>
      <w:r>
        <w:rPr>
          <w:rFonts w:hint="eastAsia" w:ascii="仿宋_GB2312"/>
          <w:color w:val="000000"/>
          <w:szCs w:val="32"/>
        </w:rPr>
        <w:t>区农业农村局、市生态环境局鹿城分局、市港航执法一大队参与。）</w:t>
      </w:r>
    </w:p>
    <w:p>
      <w:pPr>
        <w:autoSpaceDE w:val="0"/>
        <w:autoSpaceDN w:val="0"/>
        <w:adjustRightInd w:val="0"/>
        <w:snapToGrid w:val="0"/>
        <w:spacing w:line="580" w:lineRule="exact"/>
        <w:ind w:firstLine="643" w:firstLineChars="200"/>
        <w:rPr>
          <w:bCs/>
          <w:color w:val="000000"/>
          <w:szCs w:val="32"/>
        </w:rPr>
      </w:pPr>
      <w:r>
        <w:rPr>
          <w:rFonts w:hint="eastAsia" w:ascii="仿宋_GB2312"/>
          <w:b/>
          <w:bCs/>
          <w:szCs w:val="32"/>
        </w:rPr>
        <w:t>4.加强移动源污染排放控制</w:t>
      </w:r>
      <w:r>
        <w:rPr>
          <w:rFonts w:hint="eastAsia"/>
          <w:bCs/>
          <w:color w:val="000000"/>
          <w:szCs w:val="32"/>
        </w:rPr>
        <w:t>。协助做好新车环保装置检验，在新车销售、检验、登记等场所开展环保装置抽查，保证新车环保装置生产一致性。构建机动车超标排放信息数据库，追溯超标排放机动车生产和进口企业、注册登记地、排放检验机构、维修单位、运输企业等，实现全链条监管。推进老旧柴油车深度治理，具备条件的安装污染控制装置、配备实时排放监控终端，并与交通运输、环保等有关部门联网，协同控制颗粒物和氮氧化物排放，稳定达标的可免于上线排放检验。定期更换出租车三元催化装置。（责任单位：市生态环境局鹿城分局、市交警支队一、二大队牵头，区发改局、区市场监管局等参与。）</w:t>
      </w:r>
    </w:p>
    <w:p>
      <w:pPr>
        <w:autoSpaceDE w:val="0"/>
        <w:autoSpaceDN w:val="0"/>
        <w:adjustRightInd w:val="0"/>
        <w:snapToGrid w:val="0"/>
        <w:spacing w:line="580" w:lineRule="exact"/>
        <w:ind w:firstLine="643" w:firstLineChars="200"/>
        <w:rPr>
          <w:rFonts w:ascii="仿宋_GB2312"/>
          <w:color w:val="000000"/>
          <w:szCs w:val="32"/>
        </w:rPr>
      </w:pPr>
      <w:r>
        <w:rPr>
          <w:rFonts w:hint="eastAsia" w:ascii="仿宋_GB2312"/>
          <w:b/>
          <w:bCs/>
          <w:szCs w:val="32"/>
        </w:rPr>
        <w:t>5.加强非道路移动机械和船舶污染防治</w:t>
      </w:r>
      <w:r>
        <w:rPr>
          <w:rFonts w:hint="eastAsia"/>
          <w:bCs/>
          <w:color w:val="000000"/>
          <w:szCs w:val="32"/>
        </w:rPr>
        <w:t>。</w:t>
      </w:r>
      <w:r>
        <w:rPr>
          <w:rFonts w:hint="eastAsia" w:ascii="仿宋_GB2312"/>
          <w:szCs w:val="32"/>
        </w:rPr>
        <w:t>2019年底前，完成非道路移动机械摸底调查，划定非道路移动机械低排放控制区，严格管控高排放非道路移动机械。推进排放不达标工程机械、港作机械清洁化改造和淘汰，推进高耗能农业机械报废和淘汰，2019年底前，积极推进实施船舶排放控制区调整方案。推动内河船舶改造，继续推进内河船型标准化。</w:t>
      </w:r>
      <w:r>
        <w:rPr>
          <w:rFonts w:hint="eastAsia" w:ascii="仿宋_GB2312"/>
          <w:color w:val="000000"/>
          <w:szCs w:val="32"/>
        </w:rPr>
        <w:t>（责任单位：区住建局、区交通运输局、区农业农村局、区市场监管局、区综合行政执法局、市生态环境局鹿城分局、温州瓯江海事处负责，市港航执法一大队等参与。）</w:t>
      </w:r>
    </w:p>
    <w:p>
      <w:pPr>
        <w:autoSpaceDE w:val="0"/>
        <w:autoSpaceDN w:val="0"/>
        <w:adjustRightInd w:val="0"/>
        <w:snapToGrid w:val="0"/>
        <w:spacing w:line="580" w:lineRule="exact"/>
        <w:ind w:firstLine="643" w:firstLineChars="200"/>
        <w:rPr>
          <w:rFonts w:ascii="仿宋_GB2312"/>
          <w:color w:val="000000"/>
          <w:szCs w:val="32"/>
        </w:rPr>
      </w:pPr>
      <w:r>
        <w:rPr>
          <w:rFonts w:hint="eastAsia" w:ascii="仿宋_GB2312"/>
          <w:b/>
          <w:bCs/>
          <w:szCs w:val="32"/>
        </w:rPr>
        <w:t>6.推动靠港船舶使用岸电</w:t>
      </w:r>
      <w:r>
        <w:rPr>
          <w:rFonts w:hint="eastAsia"/>
          <w:bCs/>
          <w:color w:val="000000"/>
          <w:szCs w:val="32"/>
        </w:rPr>
        <w:t>。</w:t>
      </w:r>
      <w:r>
        <w:rPr>
          <w:rFonts w:hint="eastAsia" w:ascii="仿宋_GB2312"/>
          <w:szCs w:val="32"/>
        </w:rPr>
        <w:t>加快港口码头岸电设施建设，提高岸电设施使用率。2020年底前，主要港口90%的港作船舶、公务船舶靠泊使用岸电，沿海主要港口50%以上专业化泊位（危险货物泊位除外）、水上服务区和待闸锚地具备岸电供应能力，按照市下达的要求建设岸电桩。新建码头同步规划、设计、建设岸电设施。沿海港口新增、更换拖船优先使用清洁能源。</w:t>
      </w:r>
      <w:r>
        <w:rPr>
          <w:rFonts w:hint="eastAsia" w:ascii="仿宋_GB2312"/>
          <w:color w:val="000000"/>
          <w:szCs w:val="32"/>
        </w:rPr>
        <w:t>（责任单位：区发改局、区交通运输局、市港航执法一大队牵头，区财政局、市生态环境局鹿城分局、鹿城供电分局等参与。）</w:t>
      </w:r>
    </w:p>
    <w:p>
      <w:pPr>
        <w:pStyle w:val="4"/>
        <w:autoSpaceDE w:val="0"/>
        <w:autoSpaceDN w:val="0"/>
        <w:adjustRightInd w:val="0"/>
        <w:spacing w:before="0" w:after="0" w:line="580" w:lineRule="exact"/>
        <w:ind w:firstLine="640" w:firstLineChars="200"/>
        <w:rPr>
          <w:rFonts w:ascii="楷体" w:hAnsi="楷体" w:eastAsia="楷体" w:cs="楷体"/>
          <w:b w:val="0"/>
          <w:bCs/>
        </w:rPr>
      </w:pPr>
      <w:bookmarkStart w:id="5" w:name="_Toc24988_WPSOffice_Level2"/>
      <w:r>
        <w:rPr>
          <w:rFonts w:hint="eastAsia" w:ascii="楷体" w:hAnsi="楷体" w:eastAsia="楷体" w:cs="楷体"/>
          <w:b w:val="0"/>
          <w:bCs/>
        </w:rPr>
        <w:t>（四）强化烟尘治理，推进面源防治</w:t>
      </w:r>
      <w:bookmarkEnd w:id="5"/>
    </w:p>
    <w:p>
      <w:pPr>
        <w:autoSpaceDE w:val="0"/>
        <w:autoSpaceDN w:val="0"/>
        <w:adjustRightInd w:val="0"/>
        <w:snapToGrid w:val="0"/>
        <w:spacing w:line="580" w:lineRule="exact"/>
        <w:ind w:firstLine="643" w:firstLineChars="200"/>
        <w:rPr>
          <w:bCs/>
          <w:color w:val="000000"/>
          <w:szCs w:val="32"/>
        </w:rPr>
      </w:pPr>
      <w:r>
        <w:rPr>
          <w:rFonts w:hint="eastAsia" w:ascii="仿宋_GB2312"/>
          <w:b/>
          <w:bCs/>
          <w:szCs w:val="32"/>
        </w:rPr>
        <w:t>1.推进露天矿山综合整治和绿化工程</w:t>
      </w:r>
      <w:r>
        <w:rPr>
          <w:rFonts w:hint="eastAsia"/>
          <w:bCs/>
          <w:color w:val="000000"/>
          <w:szCs w:val="32"/>
        </w:rPr>
        <w:t>。全面完成露天矿山摸底排查。对违反资源环境法律法规、规划，污染环境、破坏生态、乱采滥挖的露天矿山，依法予以关闭；对污染治理不规范的露天矿山，依法责令停产整治，整治完成并经相关部门组织验收合格后方可恢复生产，对拒不停产或擅自恢复生产的依法强制关闭；对责任主体灭失的露天矿山，加强修复绿化、减尘抑尘。原则上禁止新建露天矿山建设项目。加强矸石山治理。推广保护性耕作、林间覆盖等方式，抑制季节性裸地农田扬尘。在城市功能疏解、更新和调整中，将腾退空间优先用于留白增绿。开展城市森林建设。建设城市绿道绿廊，实施“退工还林还草”。大力提高城市建成区绿化覆盖率。（责任单位：市自然资源和规划局鹿城分局、区交通运输局牵头，区住建局、区农业农村局、区综合行政执法局、市生态环境局鹿城分局等参与。）</w:t>
      </w:r>
    </w:p>
    <w:p>
      <w:pPr>
        <w:autoSpaceDE w:val="0"/>
        <w:autoSpaceDN w:val="0"/>
        <w:adjustRightInd w:val="0"/>
        <w:snapToGrid w:val="0"/>
        <w:spacing w:line="580" w:lineRule="exact"/>
        <w:ind w:firstLine="643" w:firstLineChars="200"/>
        <w:rPr>
          <w:rFonts w:ascii="楷体" w:hAnsi="楷体" w:eastAsia="楷体" w:cs="楷体"/>
          <w:bCs/>
          <w:color w:val="000000"/>
          <w:szCs w:val="32"/>
        </w:rPr>
      </w:pPr>
      <w:r>
        <w:rPr>
          <w:rFonts w:hint="eastAsia" w:ascii="仿宋_GB2312"/>
          <w:b/>
          <w:bCs/>
          <w:szCs w:val="32"/>
        </w:rPr>
        <w:t>2.加强扬尘综合治理</w:t>
      </w:r>
      <w:r>
        <w:rPr>
          <w:rFonts w:hint="eastAsia"/>
          <w:bCs/>
          <w:color w:val="000000"/>
          <w:szCs w:val="32"/>
        </w:rPr>
        <w:t>。严格施工扬尘监管。</w:t>
      </w:r>
      <w:r>
        <w:rPr>
          <w:rFonts w:hint="eastAsia" w:ascii="仿宋_GB2312"/>
          <w:szCs w:val="32"/>
        </w:rPr>
        <w:t>2018年底前，各地建立施工工地管理清单。各类施工场地落实工地周边围挡、物料堆放覆盖、土方开挖湿法作业、路面硬化、出入车辆清洗、渣土车辆密闭运输和暂不开发土地临时绿化等“七个100%”。严格落实《浙江省促进散装水泥发展和应用条例》，在规定区域内禁止建设工程现场搅拌混凝土和砂浆，推广使用自动冲洗、雾炮等扬尘防控新技术，安装在线监测和视频监控设备，并与当地有关主管部门联网，扬尘治理费用列入工程造价。将扬尘管理工作不到位的不良信息纳入建筑市场信用管理体系，情节严重的列入建筑市场主体黑名单。大力发展装配式建筑，到2020年，装配式建筑占新建建筑比例达到30%。加强道路扬尘综合整治。大力推进道路清扫保洁机械化作业，显著提高道路机械化清扫率，2020年底前，鹿城区建成区达到75%以上。严格渣土、砂石、水泥等运输车辆规范化管理，运输车辆按规定安装密闭装置。实施降尘考核，全区平均降尘量不得高于5吨/月·平方公里。</w:t>
      </w:r>
      <w:r>
        <w:rPr>
          <w:rFonts w:hint="eastAsia" w:ascii="仿宋_GB2312"/>
          <w:color w:val="000000"/>
          <w:szCs w:val="32"/>
        </w:rPr>
        <w:t>（责任单位：区住建局、区综合行政执法局牵头，区发改局、区交通运输局、市自然资源和规划局鹿城分局、市生态环境局鹿城分局等参与。）</w:t>
      </w:r>
    </w:p>
    <w:p>
      <w:pPr>
        <w:autoSpaceDE w:val="0"/>
        <w:autoSpaceDN w:val="0"/>
        <w:adjustRightInd w:val="0"/>
        <w:snapToGrid w:val="0"/>
        <w:spacing w:line="580" w:lineRule="exact"/>
        <w:ind w:firstLine="643" w:firstLineChars="200"/>
        <w:rPr>
          <w:rFonts w:ascii="仿宋_GB2312"/>
          <w:szCs w:val="32"/>
        </w:rPr>
      </w:pPr>
      <w:r>
        <w:rPr>
          <w:rFonts w:hint="eastAsia" w:ascii="仿宋_GB2312"/>
          <w:b/>
          <w:bCs/>
          <w:szCs w:val="32"/>
        </w:rPr>
        <w:t>3.加强秸秆综合利用和氨排放控制</w:t>
      </w:r>
      <w:r>
        <w:rPr>
          <w:rFonts w:hint="eastAsia"/>
          <w:bCs/>
          <w:color w:val="000000"/>
          <w:szCs w:val="32"/>
        </w:rPr>
        <w:t>。</w:t>
      </w:r>
      <w:r>
        <w:rPr>
          <w:rFonts w:hint="eastAsia" w:ascii="仿宋_GB2312"/>
          <w:szCs w:val="32"/>
        </w:rPr>
        <w:t>加大政策支持力度，全面加强秸秆综合利用，到2020年，全区秸秆综合利用率达到95%。切实加强秸秆禁烧管控，强化藤桥镇、山福镇政府秸秆禁烧主体责任。建立网格化监管制度，在夏收和秋收阶段开展秸秆禁烧专项巡查。严防因秸秆、垃圾等露天焚烧造成重污染天气。</w:t>
      </w:r>
    </w:p>
    <w:p>
      <w:pPr>
        <w:autoSpaceDE w:val="0"/>
        <w:autoSpaceDN w:val="0"/>
        <w:adjustRightInd w:val="0"/>
        <w:snapToGrid w:val="0"/>
        <w:spacing w:line="580" w:lineRule="exact"/>
        <w:ind w:firstLine="643" w:firstLineChars="200"/>
        <w:rPr>
          <w:rFonts w:ascii="仿宋_GB2312"/>
          <w:color w:val="000000"/>
          <w:szCs w:val="32"/>
        </w:rPr>
      </w:pPr>
      <w:r>
        <w:rPr>
          <w:rFonts w:hint="eastAsia" w:ascii="仿宋_GB2312"/>
          <w:b/>
          <w:bCs/>
          <w:szCs w:val="32"/>
        </w:rPr>
        <w:t>4.控制农业源氨排放</w:t>
      </w:r>
      <w:r>
        <w:rPr>
          <w:rFonts w:hint="eastAsia"/>
          <w:bCs/>
          <w:color w:val="000000"/>
          <w:szCs w:val="32"/>
        </w:rPr>
        <w:t>。</w:t>
      </w:r>
      <w:r>
        <w:rPr>
          <w:rFonts w:hint="eastAsia" w:ascii="仿宋_GB2312"/>
          <w:szCs w:val="32"/>
        </w:rPr>
        <w:t>减少化肥农药使用量，增加有机肥使用量，实现化肥农药使用量负增长。到2020年，化肥利用率达到40%以上。强化畜禽粪污资源化利用，改善养殖场通风环境，提高畜禽粪污综合利用率，减少氨挥发排放。</w:t>
      </w:r>
      <w:r>
        <w:rPr>
          <w:rFonts w:hint="eastAsia" w:ascii="仿宋_GB2312"/>
          <w:color w:val="000000"/>
          <w:szCs w:val="32"/>
        </w:rPr>
        <w:t>（责任单位：区农业农村局牵头，区综合行政执法局、市生态环境局鹿城分局等参与。）</w:t>
      </w:r>
    </w:p>
    <w:p>
      <w:pPr>
        <w:pStyle w:val="4"/>
        <w:autoSpaceDE w:val="0"/>
        <w:autoSpaceDN w:val="0"/>
        <w:adjustRightInd w:val="0"/>
        <w:spacing w:before="0" w:after="0" w:line="580" w:lineRule="exact"/>
        <w:ind w:firstLine="640" w:firstLineChars="200"/>
        <w:rPr>
          <w:rFonts w:ascii="楷体" w:hAnsi="楷体" w:eastAsia="楷体" w:cs="楷体"/>
        </w:rPr>
      </w:pPr>
      <w:bookmarkStart w:id="6" w:name="_Toc12666_WPSOffice_Level2"/>
      <w:r>
        <w:rPr>
          <w:rFonts w:hint="eastAsia" w:ascii="楷体" w:hAnsi="楷体" w:eastAsia="楷体" w:cs="楷体"/>
          <w:b w:val="0"/>
          <w:bCs/>
        </w:rPr>
        <w:t>（五）开展深化治理，推进有机废气减排</w:t>
      </w:r>
      <w:bookmarkEnd w:id="6"/>
    </w:p>
    <w:p>
      <w:pPr>
        <w:autoSpaceDE w:val="0"/>
        <w:autoSpaceDN w:val="0"/>
        <w:adjustRightInd w:val="0"/>
        <w:snapToGrid w:val="0"/>
        <w:spacing w:line="580" w:lineRule="exact"/>
        <w:ind w:firstLine="643" w:firstLineChars="200"/>
        <w:rPr>
          <w:rFonts w:ascii="仿宋_GB2312"/>
          <w:color w:val="000000"/>
          <w:szCs w:val="32"/>
        </w:rPr>
      </w:pPr>
      <w:r>
        <w:rPr>
          <w:rFonts w:hint="eastAsia" w:ascii="仿宋_GB2312"/>
          <w:b/>
          <w:bCs/>
          <w:szCs w:val="32"/>
        </w:rPr>
        <w:t>1.严格建设项目环境准入</w:t>
      </w:r>
      <w:r>
        <w:rPr>
          <w:rFonts w:hint="eastAsia"/>
          <w:bCs/>
          <w:color w:val="000000"/>
          <w:szCs w:val="32"/>
        </w:rPr>
        <w:t>。</w:t>
      </w:r>
      <w:r>
        <w:rPr>
          <w:rFonts w:hint="eastAsia" w:ascii="仿宋_GB2312"/>
          <w:szCs w:val="32"/>
        </w:rPr>
        <w:t>提高挥发性有机物排放重点行业环保准入门槛，严格执行省、市、区相关产业的环境准入指导意见，控制新增污染物排放量。严格限制石化、化工、工业涂装、包装印刷等高挥发性有机物排放建设项目。新建涉挥发性有机物排放的重点工业企业应进入园区，新建化工项目进入符合区域规划和规划环评要求的化工园区或化工集聚区块。严格执行涉挥发性有机物建设项目环境影响评价与削减替代要求。建立覆盖所有固定污染源的企业排放许可制度，2020年底前，完成排污许可管理名录规定的行业许可证核发。</w:t>
      </w:r>
      <w:r>
        <w:rPr>
          <w:rFonts w:hint="eastAsia" w:ascii="仿宋_GB2312"/>
          <w:color w:val="000000"/>
          <w:szCs w:val="32"/>
        </w:rPr>
        <w:t>（责任单位：市生态环境局鹿城分局牵头，区发改局、区经信局等参与。）</w:t>
      </w:r>
    </w:p>
    <w:p>
      <w:pPr>
        <w:autoSpaceDE w:val="0"/>
        <w:autoSpaceDN w:val="0"/>
        <w:adjustRightInd w:val="0"/>
        <w:snapToGrid w:val="0"/>
        <w:spacing w:line="580" w:lineRule="exact"/>
        <w:ind w:firstLine="643" w:firstLineChars="200"/>
        <w:rPr>
          <w:rFonts w:ascii="仿宋_GB2312"/>
          <w:color w:val="000000"/>
          <w:szCs w:val="32"/>
        </w:rPr>
      </w:pPr>
      <w:r>
        <w:rPr>
          <w:rFonts w:hint="eastAsia" w:ascii="仿宋_GB2312"/>
          <w:b/>
          <w:bCs/>
          <w:szCs w:val="32"/>
        </w:rPr>
        <w:t>2.深入推进重点行业、重点园区、重点企业废气治理</w:t>
      </w:r>
      <w:r>
        <w:rPr>
          <w:rFonts w:hint="eastAsia"/>
          <w:bCs/>
          <w:color w:val="000000"/>
          <w:szCs w:val="32"/>
        </w:rPr>
        <w:t>。</w:t>
      </w:r>
      <w:r>
        <w:rPr>
          <w:rFonts w:hint="eastAsia" w:ascii="仿宋_GB2312"/>
          <w:szCs w:val="32"/>
        </w:rPr>
        <w:t>以石化、化工、工业涂装、制鞋、合成革、纺织印染、橡胶和塑料制品、包装印刷等行业为重点，全面推进挥发性有机物治理和工业废气清洁排放改造，建立完善“一厂一策一档”制度。二氧化硫、氮氧化物、颗粒物、挥发性有机物全面执行大气污染物特别排放限值。持续推进工业污染源全面达标排放，将烟气在线监测数据作为执法依据，加大超标处罚和联合惩戒力度，未达标排放的企业一律依法停产整治。强化工业企业无组织排放管控。开展建材、有色金属、火电、铸造等重点行业及燃煤锅炉无组织排放排查，建立管理台账，2019年底前，完成物料（含废渣）运输、装卸、储存、转移和工艺过程等无组织排放深度治理任务。推进重点工业园区废气治理，编制废气专项整治方案，建立涉气排放企业清单，落实网格化管理，2020年底前全面完成重点工业园区废气整治。结合《温州市人民政府办公室关于印发温州市七类行业整治提升行动方案（2018-2020）的通知》要求，落实集聚入园一批，规范提升一批，关停淘汰一批的总体目标，推进工业涂装、制鞋、包装印刷等行业挥发性有机物污染整治，完成制鞋等行业重点整治提升项目。</w:t>
      </w:r>
      <w:r>
        <w:rPr>
          <w:rFonts w:hint="eastAsia" w:ascii="仿宋_GB2312"/>
          <w:color w:val="000000"/>
          <w:szCs w:val="32"/>
        </w:rPr>
        <w:t>（责任单位：市生态环境局鹿城分局牵头，区发改局、区经信局等参与。）</w:t>
      </w:r>
    </w:p>
    <w:p>
      <w:pPr>
        <w:autoSpaceDE w:val="0"/>
        <w:autoSpaceDN w:val="0"/>
        <w:adjustRightInd w:val="0"/>
        <w:snapToGrid w:val="0"/>
        <w:spacing w:line="580" w:lineRule="exact"/>
        <w:ind w:firstLine="643" w:firstLineChars="200"/>
        <w:rPr>
          <w:rFonts w:ascii="仿宋_GB2312"/>
          <w:color w:val="000000"/>
          <w:szCs w:val="32"/>
        </w:rPr>
      </w:pPr>
      <w:r>
        <w:rPr>
          <w:rFonts w:hint="eastAsia" w:ascii="仿宋_GB2312"/>
          <w:b/>
          <w:bCs/>
          <w:szCs w:val="32"/>
        </w:rPr>
        <w:t>3.加快推进工业源挥发性有机物减排</w:t>
      </w:r>
      <w:r>
        <w:rPr>
          <w:rFonts w:hint="eastAsia"/>
          <w:bCs/>
          <w:color w:val="000000"/>
          <w:szCs w:val="32"/>
        </w:rPr>
        <w:t>。</w:t>
      </w:r>
      <w:r>
        <w:rPr>
          <w:rFonts w:hint="eastAsia" w:ascii="仿宋_GB2312"/>
          <w:szCs w:val="32"/>
        </w:rPr>
        <w:t>建立健全挥发性有机物排放清单，定期开展挥发性有机物排放清单动态更新。严格执行《浙江省挥发性有机物深化治理与减排工作方案（2017—2020年）》（浙环发〔2017〕41号），落实挥发性有机物治理技术指南，实施挥发性有机物重点行业和油品储运销综合整治，深入开展泄漏检测与修复。禁止建设生产和使用高挥发性有机物含量的溶剂型涂料、油墨、胶粘剂等项目。开展挥发性有机物整治专项执法。全面提高挥发性有机物监管能力和技术水平，加强执法人员装备和能力建设。加强日常督查和执法检查，重点行业开展挥发性有机物对标督查。严厉打击违法排污行为，对治理效果差、技术服务能力弱、运营管理水平低的治理单位，公布名单，实行联合惩戒，扶持培育挥发性有机物治理和服务专业化规模化龙头企业。2020年，全区挥发性有机物排放总量较2015年下降18%，重点行业下降30%以上。</w:t>
      </w:r>
      <w:r>
        <w:rPr>
          <w:rFonts w:hint="eastAsia" w:ascii="仿宋_GB2312"/>
          <w:color w:val="000000"/>
          <w:szCs w:val="32"/>
        </w:rPr>
        <w:t>（责任单位：市生态环境局鹿城分局牵头，区发改局、区经信局、区市场监管局等参与。）</w:t>
      </w:r>
    </w:p>
    <w:p>
      <w:pPr>
        <w:autoSpaceDE w:val="0"/>
        <w:autoSpaceDN w:val="0"/>
        <w:adjustRightInd w:val="0"/>
        <w:snapToGrid w:val="0"/>
        <w:spacing w:line="580" w:lineRule="exact"/>
        <w:ind w:firstLine="643" w:firstLineChars="200"/>
        <w:rPr>
          <w:rFonts w:ascii="仿宋_GB2312"/>
          <w:color w:val="000000"/>
          <w:szCs w:val="32"/>
        </w:rPr>
      </w:pPr>
      <w:r>
        <w:rPr>
          <w:rFonts w:hint="eastAsia" w:ascii="仿宋_GB2312"/>
          <w:b/>
          <w:bCs/>
          <w:szCs w:val="32"/>
        </w:rPr>
        <w:t>4.积极推进交通生活源挥发性有机物减排</w:t>
      </w:r>
      <w:r>
        <w:rPr>
          <w:rFonts w:hint="eastAsia"/>
          <w:bCs/>
          <w:color w:val="000000"/>
          <w:szCs w:val="32"/>
        </w:rPr>
        <w:t>。</w:t>
      </w:r>
      <w:r>
        <w:rPr>
          <w:rFonts w:hint="eastAsia" w:ascii="仿宋_GB2312"/>
          <w:szCs w:val="32"/>
        </w:rPr>
        <w:t>2018年底前，全面供应符合国六标准的车用汽柴油，停止销售低于国六标准的汽柴油，实现车用柴油、普通柴油、部分船舶用油“三油并轨”。落实国六标准车用汽柴油价格政策。加强油品储运销管理，深化汽油储运销油气回收治理，推进港口储存和装卸、油品装船油气回收治理。加强建筑装饰、汽修、干洗等生活源挥发性有机物治理。汽修行业推广采用静电喷涂等高涂着效率的涂装工艺并做到密闭操作，实现达标排放。到2020年，全区新建多层和高层住宅基本实现全装修。民用建筑内外墙体涂料强制使用水性涂料，禁止使用溶剂类内外墙涂料和溶剂类内外墙粘结剂。基本淘汰开启式干洗机。</w:t>
      </w:r>
      <w:r>
        <w:rPr>
          <w:rFonts w:hint="eastAsia" w:ascii="仿宋_GB2312"/>
          <w:color w:val="000000"/>
          <w:szCs w:val="32"/>
        </w:rPr>
        <w:t>（责任单位：区住建局、区商务局、区应急管理局、区交通运输局、市生态环境局鹿城分局牵头，区财政局、区市场监管局、市运管稽查一大队、中石化温州分公司、中石油温州销售分公司等参与。）</w:t>
      </w:r>
    </w:p>
    <w:p>
      <w:pPr>
        <w:pStyle w:val="4"/>
        <w:autoSpaceDE w:val="0"/>
        <w:autoSpaceDN w:val="0"/>
        <w:adjustRightInd w:val="0"/>
        <w:spacing w:before="0" w:after="0" w:line="580" w:lineRule="exact"/>
        <w:ind w:firstLine="640" w:firstLineChars="200"/>
        <w:rPr>
          <w:rFonts w:ascii="楷体" w:hAnsi="楷体" w:eastAsia="楷体" w:cs="楷体"/>
        </w:rPr>
      </w:pPr>
      <w:bookmarkStart w:id="7" w:name="_Toc25583_WPSOffice_Level2"/>
      <w:r>
        <w:rPr>
          <w:rFonts w:hint="eastAsia" w:ascii="楷体" w:hAnsi="楷体" w:eastAsia="楷体" w:cs="楷体"/>
          <w:b w:val="0"/>
          <w:bCs/>
        </w:rPr>
        <w:t>（六）实施专项行动，推进破难攻坚</w:t>
      </w:r>
      <w:bookmarkEnd w:id="7"/>
    </w:p>
    <w:p>
      <w:pPr>
        <w:autoSpaceDE w:val="0"/>
        <w:autoSpaceDN w:val="0"/>
        <w:adjustRightInd w:val="0"/>
        <w:snapToGrid w:val="0"/>
        <w:spacing w:line="580" w:lineRule="exact"/>
        <w:ind w:firstLine="643" w:firstLineChars="200"/>
        <w:rPr>
          <w:bCs/>
          <w:color w:val="000000"/>
          <w:szCs w:val="32"/>
        </w:rPr>
      </w:pPr>
      <w:r>
        <w:rPr>
          <w:rFonts w:hint="eastAsia" w:ascii="仿宋_GB2312"/>
          <w:b/>
          <w:bCs/>
          <w:szCs w:val="32"/>
        </w:rPr>
        <w:t>1.开展秋冬季攻坚行动</w:t>
      </w:r>
      <w:r>
        <w:rPr>
          <w:rFonts w:hint="eastAsia"/>
          <w:bCs/>
          <w:color w:val="000000"/>
          <w:szCs w:val="32"/>
        </w:rPr>
        <w:t>。制定实施秋冬季大气污染综合治理攻坚行动方案，以减少重污染天气为着力点，狠抓秋冬季大气污染防治，聚焦重点领域，明确攻坚目标和任务措施。按照省、市部署，开展秋冬季重点行业错峰生产，实施差别化管理。将错峰生产方案细化到企业生产线、工序和设备，载入排污许可证。企业未按期完成治理改造任务的，一并纳入当地错峰生产方案，实施停产。各地要督促企业制定落实措施。积极参与省、市组织开展的异地交叉执法、驻地督办等行动，确保各项措施落实到位。（责任单位：市生态环境局鹿城分局牵头，区发改局、区经信局、区财政局、区住建局、区综合行政执法局、市运管稽查一大队等参与。）</w:t>
      </w:r>
    </w:p>
    <w:p>
      <w:pPr>
        <w:autoSpaceDE w:val="0"/>
        <w:autoSpaceDN w:val="0"/>
        <w:adjustRightInd w:val="0"/>
        <w:snapToGrid w:val="0"/>
        <w:spacing w:line="580" w:lineRule="exact"/>
        <w:ind w:firstLine="643" w:firstLineChars="200"/>
        <w:rPr>
          <w:rFonts w:ascii="楷体" w:hAnsi="楷体" w:eastAsia="楷体" w:cs="楷体"/>
          <w:bCs/>
          <w:color w:val="000000"/>
          <w:szCs w:val="32"/>
        </w:rPr>
      </w:pPr>
      <w:r>
        <w:rPr>
          <w:rFonts w:hint="eastAsia" w:ascii="仿宋_GB2312"/>
          <w:b/>
          <w:bCs/>
          <w:szCs w:val="32"/>
        </w:rPr>
        <w:t>2.打好柴油货车污染治理攻坚战</w:t>
      </w:r>
      <w:r>
        <w:rPr>
          <w:rFonts w:hint="eastAsia"/>
          <w:bCs/>
          <w:color w:val="000000"/>
          <w:szCs w:val="32"/>
        </w:rPr>
        <w:t>。制定柴油货车污染治理攻坚战行动方案，统筹油、路、车治理，实施清洁柴油车（机）、清洁运输和清洁油品行动，确保柴油货车污染排放总量明显下降。加强柴油货车生产销售、注册使用、检验维修等环节的监督管理，建立天地车人一体化的全方位监控体系，实施在用汽车排放检测与强制维护制度。开展多部门联合执法专项行动。（责任单位：市生态环境局鹿城分局、市运管稽查一大队、市交警支队一、二大队牵头，区发改局、区经信局、区财政局、区商务局、区市场监管局等参与。）</w:t>
      </w:r>
    </w:p>
    <w:p>
      <w:pPr>
        <w:autoSpaceDE w:val="0"/>
        <w:autoSpaceDN w:val="0"/>
        <w:adjustRightInd w:val="0"/>
        <w:snapToGrid w:val="0"/>
        <w:spacing w:line="580" w:lineRule="exact"/>
        <w:ind w:firstLine="643" w:firstLineChars="200"/>
        <w:rPr>
          <w:bCs/>
          <w:color w:val="000000"/>
          <w:szCs w:val="32"/>
        </w:rPr>
      </w:pPr>
      <w:r>
        <w:rPr>
          <w:rFonts w:hint="eastAsia" w:ascii="仿宋_GB2312"/>
          <w:b/>
          <w:bCs/>
          <w:szCs w:val="32"/>
        </w:rPr>
        <w:t>3.开展工业炉窑整治专项行动</w:t>
      </w:r>
      <w:r>
        <w:rPr>
          <w:rFonts w:hint="eastAsia"/>
          <w:bCs/>
          <w:color w:val="000000"/>
          <w:szCs w:val="32"/>
        </w:rPr>
        <w:t>。制定工业炉窑综合整治实施方案。开展拉网式排查，建立各类工业炉窑管理清单，凡未列入清单的工业炉窑均纳入秋冬季错峰生产方案。严格实施行业规范和涉各类工业炉窑的环保、能耗等标准。加大不达标工业炉窑淘汰力度，加快淘汰中小型煤气发生炉。鼓励工业炉窑使用电、天然气等清洁能源或由周边热电厂供热。取缔燃煤热风炉，基本淘汰热电联产供热管网覆盖范围内的燃煤加热、烘干炉（窑）；淘汰炉膛直径3米以下燃料类煤气发生炉，加大化肥行业固定床间歇式煤气化炉整改力度；禁止掺烧高硫石油焦。将工业炉窑治理作为环保督察</w:t>
      </w:r>
      <w:bookmarkStart w:id="17" w:name="_GoBack"/>
      <w:bookmarkEnd w:id="17"/>
      <w:r>
        <w:rPr>
          <w:rFonts w:hint="eastAsia"/>
          <w:bCs/>
          <w:color w:val="000000"/>
          <w:szCs w:val="32"/>
        </w:rPr>
        <w:t>重点任务。（责任单位：市生态环境局鹿城分局、区发改局负责。）</w:t>
      </w:r>
    </w:p>
    <w:p>
      <w:pPr>
        <w:autoSpaceDE w:val="0"/>
        <w:autoSpaceDN w:val="0"/>
        <w:adjustRightInd w:val="0"/>
        <w:snapToGrid w:val="0"/>
        <w:spacing w:line="580" w:lineRule="exact"/>
        <w:ind w:firstLine="643" w:firstLineChars="200"/>
        <w:rPr>
          <w:rFonts w:ascii="楷体" w:hAnsi="楷体" w:eastAsia="楷体" w:cs="楷体"/>
          <w:bCs/>
          <w:color w:val="000000"/>
          <w:szCs w:val="32"/>
        </w:rPr>
      </w:pPr>
      <w:r>
        <w:rPr>
          <w:rFonts w:hint="eastAsia" w:ascii="仿宋_GB2312"/>
          <w:b/>
          <w:bCs/>
          <w:szCs w:val="32"/>
        </w:rPr>
        <w:t>4.推进重点领域臭气异味治理</w:t>
      </w:r>
      <w:r>
        <w:rPr>
          <w:rFonts w:hint="eastAsia"/>
          <w:bCs/>
          <w:color w:val="000000"/>
          <w:szCs w:val="32"/>
        </w:rPr>
        <w:t>。加强工业臭气异味治理。全面开展臭气异味源排查工作，组织实施工业臭气异味治理。督促涉臭气异味企业采取封闭、加盖等收集处理措施，提高臭气废气收集率和处理率，明显减少工业臭气异味排放。加强城镇生活垃圾废物臭气处理。采取有效防臭除臭措施，提升垃圾处理各环节恶臭治理水平，加强城镇污水处理厂和泵站臭气异味控制。严格控制餐饮油烟，加大超标排放处罚力度。（责任单位：区综合行政执法局、市生态环境局鹿城分局牵头，区经信局、区市场监管局等参与。）</w:t>
      </w:r>
    </w:p>
    <w:p>
      <w:pPr>
        <w:pStyle w:val="4"/>
        <w:autoSpaceDE w:val="0"/>
        <w:autoSpaceDN w:val="0"/>
        <w:adjustRightInd w:val="0"/>
        <w:spacing w:before="0" w:after="0" w:line="580" w:lineRule="exact"/>
        <w:ind w:firstLine="640" w:firstLineChars="200"/>
        <w:rPr>
          <w:rFonts w:ascii="楷体" w:hAnsi="楷体" w:eastAsia="楷体" w:cs="楷体"/>
          <w:b w:val="0"/>
          <w:bCs/>
        </w:rPr>
      </w:pPr>
      <w:bookmarkStart w:id="8" w:name="_Toc24474_WPSOffice_Level2"/>
      <w:r>
        <w:rPr>
          <w:rFonts w:hint="eastAsia" w:ascii="楷体" w:hAnsi="楷体" w:eastAsia="楷体" w:cs="楷体"/>
          <w:b w:val="0"/>
          <w:bCs/>
        </w:rPr>
        <w:t>（七）加强应急协作，推进联防联控</w:t>
      </w:r>
      <w:bookmarkEnd w:id="8"/>
    </w:p>
    <w:p>
      <w:pPr>
        <w:autoSpaceDE w:val="0"/>
        <w:autoSpaceDN w:val="0"/>
        <w:adjustRightInd w:val="0"/>
        <w:snapToGrid w:val="0"/>
        <w:spacing w:line="580" w:lineRule="exact"/>
        <w:ind w:firstLine="643" w:firstLineChars="200"/>
        <w:rPr>
          <w:bCs/>
          <w:color w:val="000000"/>
          <w:szCs w:val="32"/>
        </w:rPr>
      </w:pPr>
      <w:r>
        <w:rPr>
          <w:rFonts w:hint="eastAsia" w:ascii="仿宋_GB2312"/>
          <w:b/>
          <w:bCs/>
          <w:szCs w:val="32"/>
        </w:rPr>
        <w:t>1.积极参与长三角区域大气污染协作</w:t>
      </w:r>
      <w:r>
        <w:rPr>
          <w:rFonts w:hint="eastAsia"/>
          <w:bCs/>
          <w:color w:val="000000"/>
          <w:szCs w:val="32"/>
        </w:rPr>
        <w:t>。强化区域大气污染联防联控，落实长三角区域大气污染防治实施方案、年度计划、目标、重大措施等，积极参与长三角区域在环境政策、标准、监测、执法、科研和重污染天气联合应对等方面的协作。（责任单位：市生态环境局鹿城分局牵头，区级有关部门参与。）</w:t>
      </w:r>
    </w:p>
    <w:p>
      <w:pPr>
        <w:autoSpaceDE w:val="0"/>
        <w:autoSpaceDN w:val="0"/>
        <w:adjustRightInd w:val="0"/>
        <w:snapToGrid w:val="0"/>
        <w:spacing w:line="580" w:lineRule="exact"/>
        <w:ind w:firstLine="643" w:firstLineChars="200"/>
        <w:rPr>
          <w:bCs/>
          <w:color w:val="000000"/>
          <w:szCs w:val="32"/>
        </w:rPr>
      </w:pPr>
      <w:r>
        <w:rPr>
          <w:rFonts w:hint="eastAsia" w:ascii="仿宋_GB2312"/>
          <w:b/>
          <w:bCs/>
          <w:szCs w:val="32"/>
        </w:rPr>
        <w:t>2.加强重污染天气应急联动</w:t>
      </w:r>
      <w:r>
        <w:rPr>
          <w:rFonts w:hint="eastAsia"/>
          <w:bCs/>
          <w:color w:val="000000"/>
          <w:szCs w:val="32"/>
        </w:rPr>
        <w:t>。落实长三角区域应急预警标准，按照统一发布的预警信息，按级别启动应急响应措施，实施区域应急联动。按要求修订重污染天气应急预案，完善应急减排措施，推进“一厂一策”清单化管理，确保响应措施落实到位。（责任单位：市生态环境局鹿城分局牵头，区经信局、市交警支队一、二大队、市运管稽查一大队等参与。）</w:t>
      </w:r>
    </w:p>
    <w:p>
      <w:pPr>
        <w:pStyle w:val="4"/>
        <w:autoSpaceDE w:val="0"/>
        <w:autoSpaceDN w:val="0"/>
        <w:adjustRightInd w:val="0"/>
        <w:spacing w:before="0" w:after="0" w:line="580" w:lineRule="exact"/>
        <w:ind w:firstLine="640" w:firstLineChars="200"/>
        <w:rPr>
          <w:rFonts w:ascii="楷体" w:hAnsi="楷体" w:eastAsia="楷体" w:cs="楷体"/>
          <w:b w:val="0"/>
          <w:bCs/>
        </w:rPr>
      </w:pPr>
      <w:bookmarkStart w:id="9" w:name="_Toc2026_WPSOffice_Level2"/>
      <w:r>
        <w:rPr>
          <w:rFonts w:hint="eastAsia" w:ascii="楷体" w:hAnsi="楷体" w:eastAsia="楷体" w:cs="楷体"/>
          <w:b w:val="0"/>
          <w:bCs/>
        </w:rPr>
        <w:t>（八）健全监管体系，强化管理能力</w:t>
      </w:r>
      <w:bookmarkEnd w:id="9"/>
    </w:p>
    <w:p>
      <w:pPr>
        <w:autoSpaceDE w:val="0"/>
        <w:autoSpaceDN w:val="0"/>
        <w:adjustRightInd w:val="0"/>
        <w:snapToGrid w:val="0"/>
        <w:spacing w:line="580" w:lineRule="exact"/>
        <w:ind w:firstLine="643" w:firstLineChars="200"/>
        <w:rPr>
          <w:rFonts w:ascii="楷体" w:hAnsi="楷体" w:eastAsia="楷体" w:cs="楷体"/>
          <w:bCs/>
          <w:color w:val="000000"/>
          <w:szCs w:val="32"/>
        </w:rPr>
      </w:pPr>
      <w:r>
        <w:rPr>
          <w:rFonts w:hint="eastAsia" w:ascii="仿宋_GB2312"/>
          <w:b/>
          <w:bCs/>
          <w:szCs w:val="32"/>
        </w:rPr>
        <w:t>1.完善大气监测监控体系</w:t>
      </w:r>
      <w:r>
        <w:rPr>
          <w:rFonts w:hint="eastAsia"/>
          <w:bCs/>
          <w:color w:val="000000"/>
          <w:szCs w:val="32"/>
        </w:rPr>
        <w:t>。</w:t>
      </w:r>
      <w:r>
        <w:rPr>
          <w:rFonts w:hint="eastAsia" w:ascii="仿宋_GB2312"/>
          <w:szCs w:val="32"/>
        </w:rPr>
        <w:t>升级完善大气复合污染立体监测网络，按要求开展高等级监测站点建设，开展城市环境空气挥发性有机物监测，提升大气环境遥感监测能力。2018年底前，建成2个清新空气监测点和在时尚制造区建成1个挥发性有机物监测点。加快提升大气污染因子监测能力和分析水平，强化大气污染源追踪解析。落实省、市下达的新增县级城市自动监测站点以及在重点工业园区及大型港口设置环境空气质量监测站点任务，充分利用已建成的16个监测点位和新增VOCs监测点位推进乡镇（街道）、农村大气环境监测。按要求开展检测泄漏与修复管理平台、挥发性有机物组分在线监测系统等建设，2019年底前，排气口高度超过45米的高架源，以及石化、化工、包装印刷、工业涂装等挥发性有机物排放重点源，纳入重点排污单位名录，基本完成烟气排放自动监控设施安装，主要排污口安装污染物排放自动监测设备，并与环保部门联网，其他企业逐步配备自动监测或便携式挥发性有机物检测仪。</w:t>
      </w:r>
      <w:r>
        <w:rPr>
          <w:rFonts w:hint="eastAsia" w:ascii="仿宋_GB2312"/>
          <w:color w:val="000000"/>
          <w:szCs w:val="32"/>
        </w:rPr>
        <w:t>（责任单位：市生态环境局鹿城分局牵头，区财政局等参与。）</w:t>
      </w:r>
    </w:p>
    <w:p>
      <w:pPr>
        <w:autoSpaceDE w:val="0"/>
        <w:autoSpaceDN w:val="0"/>
        <w:adjustRightInd w:val="0"/>
        <w:snapToGrid w:val="0"/>
        <w:spacing w:line="580" w:lineRule="exact"/>
        <w:ind w:firstLine="643" w:firstLineChars="200"/>
        <w:rPr>
          <w:bCs/>
          <w:color w:val="000000"/>
          <w:szCs w:val="32"/>
        </w:rPr>
      </w:pPr>
      <w:r>
        <w:rPr>
          <w:rFonts w:hint="eastAsia" w:ascii="仿宋_GB2312"/>
          <w:b/>
          <w:bCs/>
          <w:szCs w:val="32"/>
        </w:rPr>
        <w:t>2.强化监测数据质量控制</w:t>
      </w:r>
      <w:r>
        <w:rPr>
          <w:rFonts w:hint="eastAsia"/>
          <w:bCs/>
          <w:color w:val="000000"/>
          <w:szCs w:val="32"/>
        </w:rPr>
        <w:t>。加强对环境监测和运维机构的监管，建立质控考核与实验室比对、第三方质控、信誉评级等机制，健全环境监测量值传递溯源体系，落实“谁出数谁负责、谁签字谁负责”的责任追溯制度。开展环境监测数据质量监督检查专项行动，严厉惩处环境监测数据弄虚作假行为。对地方不当干预环境监测行为的，监测机构运行维护不到位及篡改、伪造、干扰监测数据的，排污单位弄虚作假的，依纪依法从严处罚，追究责任。（责任单位：市生态环境局鹿城分局负责。）</w:t>
      </w:r>
    </w:p>
    <w:p>
      <w:pPr>
        <w:autoSpaceDE w:val="0"/>
        <w:autoSpaceDN w:val="0"/>
        <w:adjustRightInd w:val="0"/>
        <w:snapToGrid w:val="0"/>
        <w:spacing w:line="580" w:lineRule="exact"/>
        <w:ind w:firstLine="643" w:firstLineChars="200"/>
        <w:rPr>
          <w:bCs/>
          <w:color w:val="000000"/>
          <w:szCs w:val="32"/>
        </w:rPr>
      </w:pPr>
      <w:r>
        <w:rPr>
          <w:rFonts w:hint="eastAsia" w:ascii="仿宋_GB2312"/>
          <w:b/>
          <w:bCs/>
          <w:szCs w:val="32"/>
        </w:rPr>
        <w:t>3.完善大气执法监管体系</w:t>
      </w:r>
      <w:r>
        <w:rPr>
          <w:rFonts w:hint="eastAsia"/>
          <w:bCs/>
          <w:color w:val="000000"/>
          <w:szCs w:val="32"/>
        </w:rPr>
        <w:t>。加大环境执法力度，强化排污者责任。加强我区环境执法能力建设，在区环境监察部门配备便携式废气检测仪器和大气执法特种车辆。创新环境监管方式，推广“双随机、一公开”等监管。开展大气污染热点网格监管，加强工业炉窑排放、工业无组织排放、挥发性有机物污染治理等环境执法，严厉打击“散乱污”企业。加强生态环境执法与刑事司法衔接，推进区环保部门与公安机关、检察院、法院联络机构的全覆盖，主动曝光涉气环境违法犯罪典型案件。完善涉大气环境资源司法保护机制，加强环境公益诉讼。（责任单位：市生态环境局鹿城分局牵头，区法院、区检察院、区公安分局、区财政局等参与。）</w:t>
      </w:r>
    </w:p>
    <w:p>
      <w:pPr>
        <w:autoSpaceDE w:val="0"/>
        <w:autoSpaceDN w:val="0"/>
        <w:adjustRightInd w:val="0"/>
        <w:snapToGrid w:val="0"/>
        <w:spacing w:line="580" w:lineRule="exact"/>
        <w:ind w:firstLine="643" w:firstLineChars="200"/>
        <w:rPr>
          <w:bCs/>
          <w:color w:val="000000"/>
          <w:szCs w:val="32"/>
        </w:rPr>
      </w:pPr>
      <w:r>
        <w:rPr>
          <w:rFonts w:hint="eastAsia" w:ascii="仿宋_GB2312"/>
          <w:b/>
          <w:bCs/>
          <w:szCs w:val="32"/>
        </w:rPr>
        <w:t>4.严厉打击生产销售排放不合格机动车和违反信息公开要求的行为</w:t>
      </w:r>
      <w:r>
        <w:rPr>
          <w:rFonts w:hint="eastAsia"/>
          <w:bCs/>
          <w:color w:val="000000"/>
          <w:szCs w:val="32"/>
        </w:rPr>
        <w:t>。开展在用车超标排放联合执法，建立完善环境部门检测、公安部门处罚、交通运输部门监督维修的联合监管机制。严厉打击机动车排放检验机构尾气检测弄虚作假、屏蔽和修改车辆环保监控参数等违法行为。加强对油品制售企业的质量监督管理，严厉打击生产、销售、使用不合格油品和车用尿素行为，禁止以化工原料名义出售调和油组分，禁止以化工原料勾兑调和油，严禁运输企业储存使用非标油，坚决取缔黑加油站点。（责任单位：市生态环境局鹿城分局、市交警支队一、二大队、区发改局牵头，区商务局、区市场监管局等参与。）</w:t>
      </w:r>
    </w:p>
    <w:p>
      <w:pPr>
        <w:autoSpaceDE w:val="0"/>
        <w:autoSpaceDN w:val="0"/>
        <w:adjustRightInd w:val="0"/>
        <w:snapToGrid w:val="0"/>
        <w:spacing w:line="580" w:lineRule="exact"/>
        <w:ind w:firstLine="643" w:firstLineChars="200"/>
        <w:rPr>
          <w:bCs/>
          <w:color w:val="000000"/>
          <w:szCs w:val="32"/>
        </w:rPr>
      </w:pPr>
      <w:r>
        <w:rPr>
          <w:rFonts w:hint="eastAsia" w:ascii="仿宋_GB2312"/>
          <w:b/>
          <w:bCs/>
          <w:szCs w:val="32"/>
        </w:rPr>
        <w:t>5.加强大气科研能力建设</w:t>
      </w:r>
      <w:r>
        <w:rPr>
          <w:rFonts w:hint="eastAsia"/>
          <w:bCs/>
          <w:color w:val="000000"/>
          <w:szCs w:val="32"/>
        </w:rPr>
        <w:t>。汇聚跨部门科研资源，组织优秀科研团队，加强区域大气污染特征、形成机制、来源分析、健康影响、预报预警和治理技术等方面的基础性研究，开展非电行业氮氧化物治理、挥发性有机物全过程控制治理技术和装备攻关。常态化开展源排放清单编制、源解析等工作，形成污染动态溯源的基础能力。开展氨排放与控制技术研究。大力引进培养大气污染防治产业的高层次创新人才和团队。建立大气污染治理首席专家制，指导、评估全区和重点园区大气污染治理（消除恶臭）工作及成效。（责任单位：市生态环境局鹿城分局、区科技局牵头，区卫生健康局等参与。）</w:t>
      </w:r>
    </w:p>
    <w:p>
      <w:pPr>
        <w:pStyle w:val="3"/>
        <w:autoSpaceDE w:val="0"/>
        <w:autoSpaceDN w:val="0"/>
        <w:adjustRightInd w:val="0"/>
        <w:spacing w:before="0" w:after="0" w:line="580" w:lineRule="exact"/>
        <w:ind w:firstLine="640" w:firstLineChars="200"/>
        <w:rPr>
          <w:b w:val="0"/>
          <w:bCs/>
        </w:rPr>
      </w:pPr>
      <w:bookmarkStart w:id="10" w:name="_Toc32694_WPSOffice_Level1"/>
      <w:r>
        <w:rPr>
          <w:rFonts w:hint="eastAsia"/>
          <w:b w:val="0"/>
          <w:bCs/>
        </w:rPr>
        <w:t>三、保障措施</w:t>
      </w:r>
      <w:bookmarkEnd w:id="10"/>
    </w:p>
    <w:p>
      <w:pPr>
        <w:autoSpaceDE w:val="0"/>
        <w:autoSpaceDN w:val="0"/>
        <w:adjustRightInd w:val="0"/>
        <w:snapToGrid w:val="0"/>
        <w:spacing w:line="580" w:lineRule="exact"/>
        <w:ind w:firstLine="643" w:firstLineChars="200"/>
        <w:rPr>
          <w:rFonts w:ascii="楷体" w:hAnsi="楷体" w:eastAsia="楷体" w:cs="楷体"/>
          <w:bCs/>
          <w:color w:val="000000"/>
          <w:szCs w:val="32"/>
        </w:rPr>
      </w:pPr>
      <w:r>
        <w:rPr>
          <w:rFonts w:hint="eastAsia" w:ascii="仿宋_GB2312"/>
          <w:b/>
          <w:bCs/>
          <w:szCs w:val="32"/>
        </w:rPr>
        <w:t>1.加强组织领导</w:t>
      </w:r>
      <w:r>
        <w:rPr>
          <w:rFonts w:hint="eastAsia"/>
          <w:bCs/>
          <w:color w:val="000000"/>
          <w:szCs w:val="32"/>
        </w:rPr>
        <w:t>。各相关部门要根据本实施方案要求，按照管发展的管环保、管生产的管环保、管行业的管环保原则，进一步细化分工任务，制定配套政策措施，严格落实一岗双责。各街镇要把打赢蓝天保卫战放在重要位置，主要领导是本行政区域第一责任人，切实加强组织领导，制定实施方案，细化分解目标任务，科学安排指标进度，确保各项工作有力有序完成。完善各街镇和有关部门的责任清单，健全责任体系。（责任单位：区各相关部门负责。）</w:t>
      </w:r>
    </w:p>
    <w:p>
      <w:pPr>
        <w:autoSpaceDE w:val="0"/>
        <w:autoSpaceDN w:val="0"/>
        <w:adjustRightInd w:val="0"/>
        <w:snapToGrid w:val="0"/>
        <w:spacing w:line="580" w:lineRule="exact"/>
        <w:ind w:firstLine="643" w:firstLineChars="200"/>
        <w:rPr>
          <w:rFonts w:ascii="楷体" w:hAnsi="楷体" w:eastAsia="楷体" w:cs="楷体"/>
          <w:bCs/>
          <w:color w:val="000000"/>
          <w:szCs w:val="32"/>
        </w:rPr>
      </w:pPr>
      <w:r>
        <w:rPr>
          <w:rFonts w:hint="eastAsia" w:ascii="仿宋_GB2312"/>
          <w:b/>
          <w:bCs/>
          <w:szCs w:val="32"/>
        </w:rPr>
        <w:t>2.完善考核评估机制</w:t>
      </w:r>
      <w:r>
        <w:rPr>
          <w:rFonts w:hint="eastAsia"/>
          <w:bCs/>
          <w:color w:val="000000"/>
          <w:szCs w:val="32"/>
        </w:rPr>
        <w:t>。落实实施有关考核办法，贯彻落实省清新空气示范区建设办法。定期调度评估本实施方案年度实施情况，对打赢蓝天保卫战中表现突出的，及时予以褒奖；工作被动落后的，依法依规予以惩处。发现篡改、伪造监测数据的，考核结果直接认定为不合格，并依纪依法追究责任。落实省、市量化问责办法，对重点攻坚任务完成不到位或环境质量改善不到位的实施量化问责。（责任单位：市生态环境局鹿城分局牵头，区委组织部、区督考办等参与。）</w:t>
      </w:r>
    </w:p>
    <w:p>
      <w:pPr>
        <w:autoSpaceDE w:val="0"/>
        <w:autoSpaceDN w:val="0"/>
        <w:adjustRightInd w:val="0"/>
        <w:snapToGrid w:val="0"/>
        <w:spacing w:line="580" w:lineRule="exact"/>
        <w:ind w:firstLine="643" w:firstLineChars="200"/>
        <w:rPr>
          <w:bCs/>
          <w:color w:val="000000"/>
          <w:szCs w:val="32"/>
        </w:rPr>
      </w:pPr>
      <w:r>
        <w:rPr>
          <w:rFonts w:hint="eastAsia" w:ascii="仿宋_GB2312"/>
          <w:b/>
          <w:bCs/>
          <w:szCs w:val="32"/>
        </w:rPr>
        <w:t>3.加强资金支持</w:t>
      </w:r>
      <w:r>
        <w:rPr>
          <w:rFonts w:hint="eastAsia"/>
          <w:bCs/>
          <w:color w:val="000000"/>
          <w:szCs w:val="32"/>
        </w:rPr>
        <w:t>。各级财政支出要向打赢蓝天保卫战倾斜，加大大气污染防治资金投入，完善与环境空气质量改善绩效挂钩的财政奖惩机制，完善主要污染物排放总量财政收费制度。在风险可控的前提下，建立政府、企业、社会多元化投资机制，鼓励支持大气污染防治的各类投融资模式和绿色金融产品，鼓励开展合同环境服务，推广环境污染第三方治理。严格落实储气调峰设施建设等扶持政策。严格落实有利于大气污染防治的跨区输电价格、燃煤电厂超低排放环保电价、生物质发电价格等价格政策。全面清理取消对高耗能行业的优待类电价以及其他各种不合理价格优惠政策。严格落实高污染、高耗能、低产出企业差别化电价和水价政策的动态调整机制，大幅度提高限制类、淘汰类企业的电价等。严格执行环境保护税制度。落实购置环境保护专用设备企业所得税抵免优惠政策和大气污染防治方面的其他税收优惠政策。（责任单位：区发改局、区财政局牵头，区经信局、区农业农村局、区税务局、市生态环境局鹿城分局、人民银行温州市中心支行等参与。）</w:t>
      </w:r>
    </w:p>
    <w:p>
      <w:pPr>
        <w:autoSpaceDE w:val="0"/>
        <w:autoSpaceDN w:val="0"/>
        <w:adjustRightInd w:val="0"/>
        <w:snapToGrid w:val="0"/>
        <w:spacing w:line="580" w:lineRule="exact"/>
        <w:ind w:firstLine="643" w:firstLineChars="200"/>
        <w:rPr>
          <w:bCs/>
          <w:color w:val="000000"/>
          <w:szCs w:val="32"/>
        </w:rPr>
      </w:pPr>
      <w:r>
        <w:rPr>
          <w:rFonts w:hint="eastAsia" w:ascii="仿宋_GB2312"/>
          <w:b/>
          <w:bCs/>
          <w:szCs w:val="32"/>
        </w:rPr>
        <w:t>4.动员全民参与</w:t>
      </w:r>
      <w:r>
        <w:rPr>
          <w:rFonts w:hint="eastAsia"/>
          <w:bCs/>
          <w:color w:val="000000"/>
          <w:szCs w:val="32"/>
        </w:rPr>
        <w:t>。强化企事业单位污染治理主体责任，构建政府为主导、企业为主体、社会组织和公众共同参与的环境治理体系，加强政府和企事业单位环境空气质量信息公开。每月公布环境空气质量排名。公开重污染天气应急预案及应急措施清单，及时发布重污染天气预警提示信息。建立健全环保信息强制性公开制度。督促重点排污单位及时公布自行监测和污染排放数据、污染治理措施、重污染天气应对、环保违法处罚及整改等信息。已核发排污许可证的企业应按要求及时公布执行报告。机动车和非道路移动机械生产、进口企业应依法向社会公开排放检验、污染控制技术等环保信息。动员社会各方力量，群防群治。鼓励公众通过多种渠道举报环境违法行为。树立绿色消费理念，积极推进绿色采购，倡导绿色低碳生活方式。积极开展多种形式的宣传教育，普及大气污染防治的科学知识，纳入国民教育体系和党政领导干部培训内容。新闻媒体要充分发挥监督引导作用，积极宣传大气环境管理法律法规、政策文件、工作动态和经验做法等。（责任单位：市生态环境局鹿城分局牵头，区各有关部门参与。）</w:t>
      </w:r>
    </w:p>
    <w:p>
      <w:pPr>
        <w:autoSpaceDE w:val="0"/>
        <w:autoSpaceDN w:val="0"/>
        <w:adjustRightInd w:val="0"/>
        <w:snapToGrid w:val="0"/>
        <w:spacing w:line="580" w:lineRule="exact"/>
        <w:ind w:firstLine="640" w:firstLineChars="200"/>
        <w:rPr>
          <w:bCs/>
          <w:color w:val="000000"/>
          <w:szCs w:val="32"/>
        </w:rPr>
      </w:pPr>
      <w:r>
        <w:rPr>
          <w:rFonts w:hint="eastAsia"/>
          <w:bCs/>
          <w:color w:val="000000"/>
          <w:szCs w:val="32"/>
        </w:rPr>
        <w:t>以往规定与本实施方案不一致的，以本实施方案为准；本实施方案实施过程中国家、省出台新的规定，按新规定执行。</w:t>
      </w:r>
    </w:p>
    <w:p>
      <w:pPr>
        <w:autoSpaceDE w:val="0"/>
        <w:autoSpaceDN w:val="0"/>
        <w:adjustRightInd w:val="0"/>
        <w:snapToGrid w:val="0"/>
        <w:spacing w:line="580" w:lineRule="exact"/>
        <w:ind w:firstLine="640" w:firstLineChars="200"/>
        <w:rPr>
          <w:bCs/>
          <w:color w:val="000000"/>
          <w:szCs w:val="32"/>
        </w:rPr>
      </w:pPr>
    </w:p>
    <w:p>
      <w:pPr>
        <w:autoSpaceDE w:val="0"/>
        <w:autoSpaceDN w:val="0"/>
        <w:adjustRightInd w:val="0"/>
        <w:snapToGrid w:val="0"/>
        <w:spacing w:line="580" w:lineRule="exact"/>
        <w:ind w:firstLine="640" w:firstLineChars="200"/>
        <w:rPr>
          <w:bCs/>
          <w:color w:val="000000"/>
          <w:szCs w:val="32"/>
        </w:rPr>
      </w:pPr>
    </w:p>
    <w:p>
      <w:pPr>
        <w:autoSpaceDE w:val="0"/>
        <w:autoSpaceDN w:val="0"/>
        <w:adjustRightInd w:val="0"/>
        <w:snapToGrid w:val="0"/>
        <w:spacing w:line="580" w:lineRule="exact"/>
        <w:ind w:firstLine="640" w:firstLineChars="200"/>
        <w:rPr>
          <w:rFonts w:ascii="仿宋_GB2312"/>
          <w:szCs w:val="32"/>
        </w:rPr>
      </w:pPr>
      <w:r>
        <w:rPr>
          <w:rFonts w:hint="eastAsia"/>
          <w:bCs/>
          <w:color w:val="000000"/>
          <w:szCs w:val="32"/>
        </w:rPr>
        <w:t>附件：</w:t>
      </w:r>
      <w:bookmarkStart w:id="11" w:name="_Toc15881_WPSOffice_Level1"/>
      <w:r>
        <w:rPr>
          <w:rFonts w:hint="eastAsia" w:ascii="仿宋_GB2312"/>
          <w:szCs w:val="32"/>
        </w:rPr>
        <w:t>1.鹿城区空气质量改善目标清单</w:t>
      </w:r>
      <w:bookmarkEnd w:id="11"/>
    </w:p>
    <w:p>
      <w:pPr>
        <w:spacing w:line="572" w:lineRule="exact"/>
        <w:ind w:firstLine="1600" w:firstLineChars="500"/>
        <w:rPr>
          <w:rFonts w:ascii="仿宋_GB2312"/>
          <w:szCs w:val="32"/>
        </w:rPr>
      </w:pPr>
      <w:bookmarkStart w:id="12" w:name="_Toc27161_WPSOffice_Level1"/>
      <w:r>
        <w:rPr>
          <w:rFonts w:hint="eastAsia" w:ascii="仿宋_GB2312"/>
          <w:szCs w:val="32"/>
        </w:rPr>
        <w:t>2.鹿城区打赢蓝天保卫战工作任务责任分解表</w:t>
      </w:r>
      <w:bookmarkEnd w:id="12"/>
    </w:p>
    <w:p>
      <w:pPr>
        <w:spacing w:line="572" w:lineRule="exact"/>
        <w:ind w:left="1920" w:leftChars="500" w:hanging="320" w:hangingChars="100"/>
        <w:rPr>
          <w:rFonts w:ascii="仿宋_GB2312"/>
          <w:szCs w:val="32"/>
        </w:rPr>
      </w:pPr>
      <w:bookmarkStart w:id="13" w:name="_Toc26692_WPSOffice_Level1"/>
      <w:r>
        <w:rPr>
          <w:rFonts w:hint="eastAsia" w:ascii="仿宋_GB2312"/>
          <w:szCs w:val="32"/>
        </w:rPr>
        <w:t>3.鹿城区城市建成区重污染企业关闭搬迁工作计划表（2018-2020年）</w:t>
      </w:r>
      <w:bookmarkEnd w:id="13"/>
    </w:p>
    <w:p>
      <w:pPr>
        <w:numPr>
          <w:ilvl w:val="0"/>
          <w:numId w:val="1"/>
        </w:numPr>
        <w:adjustRightInd w:val="0"/>
        <w:snapToGrid w:val="0"/>
        <w:spacing w:line="540" w:lineRule="exact"/>
        <w:ind w:firstLine="1680" w:firstLineChars="525"/>
        <w:rPr>
          <w:bCs/>
          <w:color w:val="000000"/>
          <w:szCs w:val="32"/>
        </w:rPr>
        <w:sectPr>
          <w:footerReference r:id="rId3" w:type="default"/>
          <w:pgSz w:w="11906" w:h="16838"/>
          <w:pgMar w:top="1701" w:right="1588" w:bottom="1418" w:left="1588" w:header="851" w:footer="850" w:gutter="0"/>
          <w:pgNumType w:start="1"/>
          <w:cols w:space="720" w:num="1"/>
          <w:docGrid w:type="lines" w:linePitch="312" w:charSpace="0"/>
        </w:sectPr>
      </w:pPr>
    </w:p>
    <w:p>
      <w:pPr>
        <w:pStyle w:val="4"/>
        <w:autoSpaceDE w:val="0"/>
        <w:autoSpaceDN w:val="0"/>
        <w:adjustRightInd w:val="0"/>
        <w:spacing w:before="0" w:after="0" w:line="580" w:lineRule="exact"/>
        <w:ind w:firstLine="640" w:firstLineChars="200"/>
        <w:rPr>
          <w:rFonts w:ascii="楷体" w:hAnsi="楷体" w:eastAsia="楷体" w:cs="楷体"/>
          <w:b w:val="0"/>
          <w:bCs/>
        </w:rPr>
      </w:pPr>
      <w:r>
        <w:rPr>
          <w:rFonts w:hint="eastAsia" w:ascii="黑体" w:hAnsi="黑体" w:eastAsia="黑体" w:cs="黑体"/>
          <w:b w:val="0"/>
          <w:bCs/>
        </w:rPr>
        <w:t>附件1</w:t>
      </w:r>
      <w:bookmarkStart w:id="14" w:name="_Toc1395_WPSOffice_Level1"/>
      <w:bookmarkEnd w:id="14"/>
    </w:p>
    <w:p>
      <w:pPr>
        <w:adjustRightInd w:val="0"/>
        <w:snapToGrid w:val="0"/>
        <w:spacing w:line="540" w:lineRule="exact"/>
        <w:ind w:firstLine="562" w:firstLineChars="200"/>
        <w:jc w:val="center"/>
        <w:rPr>
          <w:bCs/>
          <w:color w:val="000000"/>
          <w:szCs w:val="32"/>
        </w:rPr>
      </w:pPr>
      <w:bookmarkStart w:id="15" w:name="_Toc97_WPSOffice_Level1"/>
      <w:r>
        <w:rPr>
          <w:rFonts w:hint="eastAsia" w:eastAsia="仿宋"/>
          <w:b/>
          <w:bCs/>
          <w:sz w:val="28"/>
          <w:szCs w:val="28"/>
        </w:rPr>
        <w:t>鹿城区空气质量改善目标清单</w:t>
      </w:r>
      <w:bookmarkEnd w:id="15"/>
    </w:p>
    <w:tbl>
      <w:tblPr>
        <w:tblStyle w:val="10"/>
        <w:tblW w:w="14646"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22"/>
        <w:gridCol w:w="1342"/>
        <w:gridCol w:w="2294"/>
        <w:gridCol w:w="3116"/>
        <w:gridCol w:w="3402"/>
        <w:gridCol w:w="367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1169" w:hRule="atLeast"/>
          <w:tblHeader/>
          <w:jc w:val="center"/>
        </w:trPr>
        <w:tc>
          <w:tcPr>
            <w:tcW w:w="822" w:type="dxa"/>
            <w:tcBorders>
              <w:top w:val="single" w:color="auto" w:sz="4" w:space="0"/>
              <w:left w:val="single" w:color="auto" w:sz="8" w:space="0"/>
              <w:bottom w:val="single" w:color="auto" w:sz="8" w:space="0"/>
              <w:right w:val="single" w:color="auto" w:sz="8" w:space="0"/>
            </w:tcBorders>
            <w:vAlign w:val="center"/>
          </w:tcPr>
          <w:p>
            <w:pPr>
              <w:widowControl/>
              <w:jc w:val="center"/>
              <w:textAlignment w:val="center"/>
              <w:rPr>
                <w:rFonts w:ascii="仿宋_GB2312"/>
                <w:sz w:val="24"/>
                <w:szCs w:val="24"/>
              </w:rPr>
            </w:pPr>
            <w:r>
              <w:rPr>
                <w:rFonts w:hint="eastAsia" w:ascii="仿宋_GB2312"/>
                <w:sz w:val="24"/>
                <w:szCs w:val="24"/>
              </w:rPr>
              <w:t>序号</w:t>
            </w:r>
          </w:p>
        </w:tc>
        <w:tc>
          <w:tcPr>
            <w:tcW w:w="1342" w:type="dxa"/>
            <w:tcBorders>
              <w:top w:val="single" w:color="auto" w:sz="4" w:space="0"/>
              <w:left w:val="single" w:color="auto" w:sz="8" w:space="0"/>
              <w:bottom w:val="single" w:color="auto" w:sz="8" w:space="0"/>
              <w:right w:val="single" w:color="auto" w:sz="8" w:space="0"/>
            </w:tcBorders>
            <w:vAlign w:val="center"/>
          </w:tcPr>
          <w:p>
            <w:pPr>
              <w:widowControl/>
              <w:jc w:val="center"/>
              <w:textAlignment w:val="center"/>
              <w:rPr>
                <w:rFonts w:ascii="仿宋_GB2312"/>
                <w:sz w:val="24"/>
                <w:szCs w:val="24"/>
              </w:rPr>
            </w:pPr>
            <w:r>
              <w:rPr>
                <w:rFonts w:hint="eastAsia" w:ascii="仿宋_GB2312"/>
                <w:sz w:val="24"/>
                <w:szCs w:val="24"/>
              </w:rPr>
              <w:t>行政区域</w:t>
            </w:r>
          </w:p>
        </w:tc>
        <w:tc>
          <w:tcPr>
            <w:tcW w:w="2294" w:type="dxa"/>
            <w:tcBorders>
              <w:top w:val="single" w:color="auto" w:sz="8" w:space="0"/>
              <w:left w:val="single" w:color="auto" w:sz="4" w:space="0"/>
              <w:bottom w:val="single" w:color="auto" w:sz="8" w:space="0"/>
              <w:right w:val="single" w:color="auto" w:sz="4" w:space="0"/>
            </w:tcBorders>
            <w:vAlign w:val="center"/>
          </w:tcPr>
          <w:p>
            <w:pPr>
              <w:widowControl/>
              <w:jc w:val="center"/>
              <w:textAlignment w:val="center"/>
              <w:rPr>
                <w:rFonts w:ascii="仿宋_GB2312"/>
                <w:sz w:val="24"/>
                <w:szCs w:val="24"/>
              </w:rPr>
            </w:pPr>
            <w:r>
              <w:rPr>
                <w:rFonts w:hint="eastAsia" w:ascii="仿宋_GB2312"/>
                <w:sz w:val="24"/>
                <w:szCs w:val="24"/>
              </w:rPr>
              <w:t>2020年PM</w:t>
            </w:r>
            <w:r>
              <w:rPr>
                <w:rFonts w:hint="eastAsia" w:ascii="仿宋_GB2312"/>
                <w:sz w:val="24"/>
                <w:szCs w:val="24"/>
                <w:vertAlign w:val="subscript"/>
              </w:rPr>
              <w:t>2.5</w:t>
            </w:r>
            <w:r>
              <w:rPr>
                <w:rFonts w:hint="eastAsia" w:ascii="仿宋_GB2312"/>
                <w:sz w:val="24"/>
                <w:szCs w:val="24"/>
              </w:rPr>
              <w:t>浓度</w:t>
            </w:r>
          </w:p>
          <w:p>
            <w:pPr>
              <w:widowControl/>
              <w:jc w:val="center"/>
              <w:textAlignment w:val="center"/>
              <w:rPr>
                <w:rFonts w:ascii="仿宋_GB2312"/>
                <w:sz w:val="24"/>
                <w:szCs w:val="24"/>
              </w:rPr>
            </w:pPr>
            <w:r>
              <w:rPr>
                <w:rFonts w:hint="eastAsia" w:ascii="仿宋_GB2312"/>
                <w:sz w:val="24"/>
                <w:szCs w:val="24"/>
              </w:rPr>
              <w:t>（微克/立方米）</w:t>
            </w:r>
          </w:p>
        </w:tc>
        <w:tc>
          <w:tcPr>
            <w:tcW w:w="311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仿宋_GB2312"/>
                <w:sz w:val="24"/>
                <w:szCs w:val="24"/>
              </w:rPr>
            </w:pPr>
            <w:r>
              <w:rPr>
                <w:rFonts w:hint="eastAsia" w:ascii="仿宋_GB2312"/>
                <w:sz w:val="24"/>
                <w:szCs w:val="24"/>
              </w:rPr>
              <w:t>2020年二氧化硫排放总量比2015年减少（%）</w:t>
            </w:r>
          </w:p>
        </w:tc>
        <w:tc>
          <w:tcPr>
            <w:tcW w:w="3402"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仿宋_GB2312"/>
                <w:sz w:val="24"/>
                <w:szCs w:val="24"/>
              </w:rPr>
            </w:pPr>
            <w:r>
              <w:rPr>
                <w:rFonts w:hint="eastAsia" w:ascii="仿宋_GB2312"/>
                <w:sz w:val="24"/>
                <w:szCs w:val="24"/>
              </w:rPr>
              <w:t>2020年氮氧化物排放总量比2015年减少（%）</w:t>
            </w:r>
          </w:p>
        </w:tc>
        <w:tc>
          <w:tcPr>
            <w:tcW w:w="3670"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仿宋_GB2312"/>
                <w:sz w:val="24"/>
                <w:szCs w:val="24"/>
              </w:rPr>
            </w:pPr>
            <w:r>
              <w:rPr>
                <w:rFonts w:hint="eastAsia" w:ascii="仿宋_GB2312"/>
                <w:sz w:val="24"/>
                <w:szCs w:val="24"/>
              </w:rPr>
              <w:t>2020年挥发性有机物排放总量比2015年减少（%）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7" w:hRule="atLeast"/>
          <w:jc w:val="center"/>
        </w:trPr>
        <w:tc>
          <w:tcPr>
            <w:tcW w:w="822"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仿宋_GB2312"/>
                <w:sz w:val="24"/>
                <w:szCs w:val="24"/>
              </w:rPr>
            </w:pPr>
            <w:r>
              <w:rPr>
                <w:rFonts w:hint="eastAsia" w:ascii="仿宋_GB2312"/>
                <w:sz w:val="24"/>
                <w:szCs w:val="24"/>
              </w:rPr>
              <w:t>1</w:t>
            </w:r>
          </w:p>
        </w:tc>
        <w:tc>
          <w:tcPr>
            <w:tcW w:w="1342"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仿宋_GB2312"/>
                <w:sz w:val="24"/>
                <w:szCs w:val="24"/>
              </w:rPr>
            </w:pPr>
            <w:r>
              <w:rPr>
                <w:rFonts w:hint="eastAsia" w:ascii="仿宋_GB2312"/>
                <w:sz w:val="24"/>
                <w:szCs w:val="24"/>
              </w:rPr>
              <w:t>鹿城</w:t>
            </w:r>
          </w:p>
        </w:tc>
        <w:tc>
          <w:tcPr>
            <w:tcW w:w="2294"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仿宋_GB2312"/>
                <w:sz w:val="24"/>
                <w:szCs w:val="24"/>
              </w:rPr>
            </w:pPr>
            <w:r>
              <w:rPr>
                <w:rFonts w:hint="eastAsia" w:ascii="仿宋_GB2312"/>
                <w:sz w:val="24"/>
                <w:szCs w:val="24"/>
              </w:rPr>
              <w:t>35</w:t>
            </w:r>
          </w:p>
        </w:tc>
        <w:tc>
          <w:tcPr>
            <w:tcW w:w="311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仿宋_GB2312"/>
                <w:sz w:val="24"/>
                <w:szCs w:val="24"/>
              </w:rPr>
            </w:pPr>
            <w:r>
              <w:rPr>
                <w:rFonts w:hint="eastAsia" w:ascii="仿宋_GB2312"/>
                <w:sz w:val="24"/>
                <w:szCs w:val="24"/>
              </w:rPr>
              <w:t>15</w:t>
            </w:r>
          </w:p>
        </w:tc>
        <w:tc>
          <w:tcPr>
            <w:tcW w:w="3402"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仿宋_GB2312"/>
                <w:sz w:val="24"/>
                <w:szCs w:val="24"/>
              </w:rPr>
            </w:pPr>
            <w:r>
              <w:rPr>
                <w:rFonts w:hint="eastAsia" w:ascii="仿宋_GB2312"/>
                <w:sz w:val="24"/>
                <w:szCs w:val="24"/>
              </w:rPr>
              <w:t>15</w:t>
            </w:r>
          </w:p>
        </w:tc>
        <w:tc>
          <w:tcPr>
            <w:tcW w:w="3670"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仿宋_GB2312"/>
                <w:sz w:val="24"/>
                <w:szCs w:val="24"/>
              </w:rPr>
            </w:pPr>
            <w:r>
              <w:rPr>
                <w:rFonts w:hint="eastAsia" w:ascii="仿宋_GB2312"/>
                <w:sz w:val="24"/>
                <w:szCs w:val="24"/>
              </w:rPr>
              <w:t>18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2" w:hRule="atLeast"/>
          <w:jc w:val="center"/>
        </w:trPr>
        <w:tc>
          <w:tcPr>
            <w:tcW w:w="2164" w:type="dxa"/>
            <w:gridSpan w:val="2"/>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仿宋_GB2312"/>
                <w:sz w:val="24"/>
                <w:szCs w:val="24"/>
              </w:rPr>
            </w:pPr>
            <w:r>
              <w:rPr>
                <w:rFonts w:hint="eastAsia" w:ascii="仿宋_GB2312"/>
                <w:sz w:val="24"/>
                <w:szCs w:val="24"/>
              </w:rPr>
              <w:t>全市平均</w:t>
            </w:r>
          </w:p>
        </w:tc>
        <w:tc>
          <w:tcPr>
            <w:tcW w:w="2294"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仿宋_GB2312"/>
                <w:sz w:val="24"/>
                <w:szCs w:val="24"/>
              </w:rPr>
            </w:pPr>
            <w:r>
              <w:rPr>
                <w:rFonts w:hint="eastAsia" w:ascii="仿宋_GB2312"/>
                <w:sz w:val="24"/>
                <w:szCs w:val="24"/>
              </w:rPr>
              <w:t>31</w:t>
            </w:r>
          </w:p>
        </w:tc>
        <w:tc>
          <w:tcPr>
            <w:tcW w:w="3116" w:type="dxa"/>
            <w:tcBorders>
              <w:top w:val="single" w:color="auto" w:sz="8" w:space="0"/>
              <w:left w:val="single" w:color="auto" w:sz="8" w:space="0"/>
              <w:bottom w:val="single" w:color="auto" w:sz="8" w:space="0"/>
              <w:right w:val="single" w:color="auto" w:sz="8" w:space="0"/>
            </w:tcBorders>
          </w:tcPr>
          <w:p>
            <w:pPr>
              <w:widowControl/>
              <w:jc w:val="center"/>
              <w:textAlignment w:val="center"/>
              <w:rPr>
                <w:rFonts w:ascii="仿宋_GB2312"/>
                <w:sz w:val="24"/>
                <w:szCs w:val="24"/>
              </w:rPr>
            </w:pPr>
            <w:r>
              <w:rPr>
                <w:rFonts w:hint="eastAsia" w:ascii="仿宋_GB2312"/>
                <w:sz w:val="24"/>
                <w:szCs w:val="24"/>
              </w:rPr>
              <w:t>15</w:t>
            </w:r>
          </w:p>
        </w:tc>
        <w:tc>
          <w:tcPr>
            <w:tcW w:w="3402"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仿宋_GB2312"/>
                <w:sz w:val="24"/>
                <w:szCs w:val="24"/>
              </w:rPr>
            </w:pPr>
            <w:r>
              <w:rPr>
                <w:rFonts w:hint="eastAsia" w:ascii="仿宋_GB2312"/>
                <w:sz w:val="24"/>
                <w:szCs w:val="24"/>
              </w:rPr>
              <w:t>15</w:t>
            </w:r>
          </w:p>
        </w:tc>
        <w:tc>
          <w:tcPr>
            <w:tcW w:w="3670"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仿宋_GB2312"/>
                <w:sz w:val="24"/>
                <w:szCs w:val="24"/>
              </w:rPr>
            </w:pPr>
            <w:r>
              <w:rPr>
                <w:rFonts w:hint="eastAsia" w:ascii="仿宋_GB2312"/>
                <w:sz w:val="24"/>
                <w:szCs w:val="24"/>
              </w:rPr>
              <w:t>18</w:t>
            </w:r>
          </w:p>
        </w:tc>
      </w:tr>
    </w:tbl>
    <w:p>
      <w:pPr>
        <w:rPr>
          <w:sz w:val="28"/>
        </w:rPr>
      </w:pPr>
    </w:p>
    <w:p>
      <w:pPr>
        <w:adjustRightInd w:val="0"/>
        <w:snapToGrid w:val="0"/>
        <w:spacing w:line="540" w:lineRule="exact"/>
        <w:ind w:firstLine="640" w:firstLineChars="200"/>
        <w:rPr>
          <w:bCs/>
          <w:color w:val="000000"/>
          <w:szCs w:val="32"/>
        </w:rPr>
      </w:pPr>
    </w:p>
    <w:p>
      <w:pPr>
        <w:adjustRightInd w:val="0"/>
        <w:snapToGrid w:val="0"/>
        <w:spacing w:line="540" w:lineRule="exact"/>
        <w:ind w:firstLine="640" w:firstLineChars="200"/>
        <w:rPr>
          <w:bCs/>
          <w:color w:val="000000"/>
          <w:szCs w:val="32"/>
        </w:rPr>
      </w:pPr>
    </w:p>
    <w:p>
      <w:pPr>
        <w:adjustRightInd w:val="0"/>
        <w:snapToGrid w:val="0"/>
        <w:spacing w:line="540" w:lineRule="exact"/>
        <w:ind w:firstLine="640" w:firstLineChars="200"/>
        <w:rPr>
          <w:bCs/>
          <w:color w:val="000000"/>
          <w:szCs w:val="32"/>
        </w:rPr>
      </w:pPr>
    </w:p>
    <w:p>
      <w:pPr>
        <w:adjustRightInd w:val="0"/>
        <w:snapToGrid w:val="0"/>
        <w:spacing w:line="540" w:lineRule="exact"/>
        <w:ind w:firstLine="640" w:firstLineChars="200"/>
        <w:rPr>
          <w:bCs/>
          <w:color w:val="000000"/>
          <w:szCs w:val="32"/>
        </w:rPr>
        <w:sectPr>
          <w:pgSz w:w="16838" w:h="11906" w:orient="landscape"/>
          <w:pgMar w:top="1800" w:right="1440" w:bottom="1800" w:left="1440" w:header="851" w:footer="992" w:gutter="0"/>
          <w:cols w:space="720" w:num="1"/>
          <w:docGrid w:type="lines" w:linePitch="312" w:charSpace="0"/>
        </w:sectPr>
      </w:pPr>
    </w:p>
    <w:p>
      <w:pPr>
        <w:pStyle w:val="4"/>
        <w:autoSpaceDE w:val="0"/>
        <w:autoSpaceDN w:val="0"/>
        <w:adjustRightInd w:val="0"/>
        <w:spacing w:before="0" w:after="0" w:line="580" w:lineRule="exact"/>
        <w:ind w:firstLine="640" w:firstLineChars="200"/>
        <w:rPr>
          <w:rFonts w:ascii="黑体" w:hAnsi="黑体" w:eastAsia="黑体" w:cs="黑体"/>
          <w:b w:val="0"/>
          <w:bCs/>
        </w:rPr>
      </w:pPr>
      <w:r>
        <w:rPr>
          <w:rFonts w:hint="eastAsia" w:ascii="黑体" w:hAnsi="黑体" w:eastAsia="黑体" w:cs="黑体"/>
          <w:b w:val="0"/>
          <w:bCs/>
        </w:rPr>
        <w:t>附件2</w:t>
      </w:r>
    </w:p>
    <w:p>
      <w:pPr>
        <w:jc w:val="center"/>
        <w:rPr>
          <w:rFonts w:ascii="仿宋" w:hAnsi="仿宋" w:eastAsia="仿宋" w:cs="仿宋"/>
          <w:b/>
          <w:bCs/>
          <w:sz w:val="28"/>
          <w:szCs w:val="28"/>
        </w:rPr>
      </w:pPr>
      <w:bookmarkStart w:id="16" w:name="_Toc29467_WPSOffice_Level1"/>
      <w:r>
        <w:rPr>
          <w:rFonts w:hint="eastAsia" w:ascii="仿宋" w:hAnsi="仿宋" w:eastAsia="仿宋" w:cs="仿宋"/>
          <w:b/>
          <w:bCs/>
          <w:sz w:val="28"/>
          <w:szCs w:val="28"/>
        </w:rPr>
        <w:t>鹿城区打赢蓝天保卫战工作任务责任分解表</w:t>
      </w:r>
      <w:bookmarkEnd w:id="16"/>
    </w:p>
    <w:tbl>
      <w:tblPr>
        <w:tblStyle w:val="10"/>
        <w:tblW w:w="14880" w:type="dxa"/>
        <w:tblInd w:w="0" w:type="dxa"/>
        <w:tblLayout w:type="fixed"/>
        <w:tblCellMar>
          <w:top w:w="15" w:type="dxa"/>
          <w:left w:w="15" w:type="dxa"/>
          <w:bottom w:w="15" w:type="dxa"/>
          <w:right w:w="15" w:type="dxa"/>
        </w:tblCellMar>
      </w:tblPr>
      <w:tblGrid>
        <w:gridCol w:w="1080"/>
        <w:gridCol w:w="1576"/>
        <w:gridCol w:w="5324"/>
        <w:gridCol w:w="3181"/>
        <w:gridCol w:w="3719"/>
      </w:tblGrid>
      <w:tr>
        <w:tblPrEx>
          <w:tblCellMar>
            <w:top w:w="15" w:type="dxa"/>
            <w:left w:w="15" w:type="dxa"/>
            <w:bottom w:w="15" w:type="dxa"/>
            <w:right w:w="15" w:type="dxa"/>
          </w:tblCellMar>
        </w:tblPrEx>
        <w:trPr>
          <w:trHeight w:val="286" w:hRule="atLeast"/>
          <w:tblHead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b/>
                <w:bCs/>
                <w:color w:val="000000"/>
                <w:sz w:val="22"/>
                <w:szCs w:val="22"/>
              </w:rPr>
            </w:pPr>
            <w:r>
              <w:rPr>
                <w:rFonts w:eastAsia="仿宋"/>
                <w:b/>
                <w:bCs/>
                <w:color w:val="000000"/>
                <w:kern w:val="0"/>
                <w:sz w:val="22"/>
                <w:szCs w:val="22"/>
              </w:rPr>
              <w:t>序号</w:t>
            </w:r>
          </w:p>
        </w:tc>
        <w:tc>
          <w:tcPr>
            <w:tcW w:w="15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b/>
                <w:bCs/>
                <w:color w:val="000000"/>
                <w:sz w:val="22"/>
                <w:szCs w:val="22"/>
              </w:rPr>
            </w:pPr>
            <w:r>
              <w:rPr>
                <w:rFonts w:eastAsia="仿宋"/>
                <w:b/>
                <w:bCs/>
                <w:color w:val="000000"/>
                <w:kern w:val="0"/>
                <w:sz w:val="22"/>
                <w:szCs w:val="22"/>
              </w:rPr>
              <w:t>工作内容</w:t>
            </w:r>
          </w:p>
        </w:tc>
        <w:tc>
          <w:tcPr>
            <w:tcW w:w="5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b/>
                <w:bCs/>
                <w:color w:val="000000"/>
                <w:sz w:val="22"/>
                <w:szCs w:val="22"/>
              </w:rPr>
            </w:pPr>
            <w:r>
              <w:rPr>
                <w:rFonts w:eastAsia="仿宋"/>
                <w:b/>
                <w:bCs/>
                <w:color w:val="000000"/>
                <w:kern w:val="0"/>
                <w:sz w:val="22"/>
                <w:szCs w:val="22"/>
              </w:rPr>
              <w:t>工作任务</w:t>
            </w:r>
          </w:p>
        </w:tc>
        <w:tc>
          <w:tcPr>
            <w:tcW w:w="3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b/>
                <w:bCs/>
                <w:color w:val="000000"/>
                <w:sz w:val="22"/>
                <w:szCs w:val="22"/>
              </w:rPr>
            </w:pPr>
            <w:r>
              <w:rPr>
                <w:rFonts w:eastAsia="仿宋"/>
                <w:b/>
                <w:bCs/>
                <w:color w:val="000000"/>
                <w:kern w:val="0"/>
                <w:sz w:val="22"/>
                <w:szCs w:val="22"/>
              </w:rPr>
              <w:t>牵头单位</w:t>
            </w:r>
          </w:p>
        </w:tc>
        <w:tc>
          <w:tcPr>
            <w:tcW w:w="37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b/>
                <w:bCs/>
                <w:color w:val="000000"/>
                <w:sz w:val="22"/>
                <w:szCs w:val="22"/>
              </w:rPr>
            </w:pPr>
            <w:r>
              <w:rPr>
                <w:rFonts w:eastAsia="仿宋"/>
                <w:b/>
                <w:bCs/>
                <w:color w:val="000000"/>
                <w:kern w:val="0"/>
                <w:sz w:val="22"/>
                <w:szCs w:val="22"/>
              </w:rPr>
              <w:t>配合单位</w:t>
            </w:r>
          </w:p>
        </w:tc>
      </w:tr>
      <w:tr>
        <w:tblPrEx>
          <w:tblCellMar>
            <w:top w:w="15" w:type="dxa"/>
            <w:left w:w="15" w:type="dxa"/>
            <w:bottom w:w="15" w:type="dxa"/>
            <w:right w:w="15" w:type="dxa"/>
          </w:tblCellMar>
        </w:tblPrEx>
        <w:trPr>
          <w:trHeight w:val="286" w:hRule="atLeast"/>
        </w:trPr>
        <w:tc>
          <w:tcPr>
            <w:tcW w:w="14880"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仿宋"/>
                <w:color w:val="000000"/>
                <w:sz w:val="22"/>
                <w:szCs w:val="22"/>
              </w:rPr>
            </w:pPr>
            <w:r>
              <w:rPr>
                <w:rFonts w:eastAsia="仿宋"/>
                <w:color w:val="000000"/>
                <w:kern w:val="0"/>
                <w:sz w:val="22"/>
                <w:szCs w:val="22"/>
              </w:rPr>
              <w:t>一、优化产业结构，淘汰落后产能</w:t>
            </w:r>
          </w:p>
        </w:tc>
      </w:tr>
      <w:tr>
        <w:tblPrEx>
          <w:tblCellMar>
            <w:top w:w="15" w:type="dxa"/>
            <w:left w:w="15" w:type="dxa"/>
            <w:bottom w:w="15" w:type="dxa"/>
            <w:right w:w="15" w:type="dxa"/>
          </w:tblCellMar>
        </w:tblPrEx>
        <w:trPr>
          <w:trHeight w:val="108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hint="eastAsia" w:ascii="仿宋_GB2312"/>
                <w:sz w:val="22"/>
                <w:szCs w:val="22"/>
              </w:rPr>
              <w:t>1</w:t>
            </w:r>
          </w:p>
        </w:tc>
        <w:tc>
          <w:tcPr>
            <w:tcW w:w="157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eastAsia="仿宋"/>
                <w:color w:val="000000"/>
                <w:kern w:val="0"/>
                <w:sz w:val="22"/>
                <w:szCs w:val="22"/>
              </w:rPr>
              <w:t>优化产业布局</w:t>
            </w:r>
          </w:p>
        </w:tc>
        <w:tc>
          <w:tcPr>
            <w:tcW w:w="53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
                <w:color w:val="000000"/>
                <w:sz w:val="22"/>
                <w:szCs w:val="22"/>
              </w:rPr>
            </w:pPr>
            <w:r>
              <w:rPr>
                <w:rFonts w:eastAsia="仿宋"/>
                <w:color w:val="000000"/>
                <w:kern w:val="0"/>
                <w:sz w:val="22"/>
                <w:szCs w:val="22"/>
              </w:rPr>
              <w:t>加快城市建成区重污染企业关停、搬迁、改造或退出，推动实施推动实施温州市鹿城东瓯染料中间体厂、温州市</w:t>
            </w:r>
            <w:r>
              <w:rPr>
                <w:rFonts w:hint="eastAsia" w:eastAsia="仿宋"/>
                <w:color w:val="000000"/>
                <w:kern w:val="0"/>
                <w:sz w:val="22"/>
                <w:szCs w:val="22"/>
              </w:rPr>
              <w:t>东开</w:t>
            </w:r>
            <w:r>
              <w:rPr>
                <w:rFonts w:eastAsia="仿宋"/>
                <w:color w:val="000000"/>
                <w:kern w:val="0"/>
                <w:sz w:val="22"/>
                <w:szCs w:val="22"/>
              </w:rPr>
              <w:t>化工试剂厂、温州</w:t>
            </w:r>
            <w:r>
              <w:rPr>
                <w:rFonts w:hint="eastAsia" w:eastAsia="仿宋"/>
                <w:color w:val="000000"/>
                <w:kern w:val="0"/>
                <w:sz w:val="22"/>
                <w:szCs w:val="22"/>
              </w:rPr>
              <w:t>亿凯</w:t>
            </w:r>
            <w:r>
              <w:rPr>
                <w:rFonts w:eastAsia="仿宋"/>
                <w:color w:val="000000"/>
                <w:kern w:val="0"/>
                <w:sz w:val="22"/>
                <w:szCs w:val="22"/>
              </w:rPr>
              <w:t>化工有限公司等一批化工重污染企业搬迁工程。禁止新增化工园区。</w:t>
            </w:r>
          </w:p>
        </w:tc>
        <w:tc>
          <w:tcPr>
            <w:tcW w:w="3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eastAsia="仿宋"/>
                <w:color w:val="000000"/>
                <w:kern w:val="0"/>
                <w:sz w:val="22"/>
                <w:szCs w:val="22"/>
              </w:rPr>
              <w:t>区经信局</w:t>
            </w:r>
          </w:p>
        </w:tc>
        <w:tc>
          <w:tcPr>
            <w:tcW w:w="37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eastAsia="仿宋"/>
                <w:color w:val="000000"/>
                <w:kern w:val="0"/>
                <w:sz w:val="22"/>
                <w:szCs w:val="22"/>
              </w:rPr>
              <w:t>区发改局、</w:t>
            </w:r>
            <w:r>
              <w:rPr>
                <w:rFonts w:hint="eastAsia" w:eastAsia="仿宋"/>
                <w:color w:val="000000"/>
                <w:kern w:val="0"/>
                <w:sz w:val="22"/>
                <w:szCs w:val="22"/>
              </w:rPr>
              <w:t>市生态环境局鹿城分局</w:t>
            </w:r>
            <w:r>
              <w:rPr>
                <w:rFonts w:eastAsia="仿宋"/>
                <w:color w:val="000000"/>
                <w:kern w:val="0"/>
                <w:sz w:val="22"/>
                <w:szCs w:val="22"/>
              </w:rPr>
              <w:t>，</w:t>
            </w:r>
            <w:r>
              <w:rPr>
                <w:rFonts w:hint="eastAsia" w:eastAsia="仿宋"/>
                <w:color w:val="000000"/>
                <w:kern w:val="0"/>
                <w:sz w:val="22"/>
                <w:szCs w:val="22"/>
              </w:rPr>
              <w:t>各街镇</w:t>
            </w:r>
            <w:r>
              <w:rPr>
                <w:rFonts w:eastAsia="仿宋"/>
                <w:color w:val="000000"/>
                <w:kern w:val="0"/>
                <w:sz w:val="22"/>
                <w:szCs w:val="22"/>
              </w:rPr>
              <w:t>负责落实。以下均需</w:t>
            </w:r>
            <w:r>
              <w:rPr>
                <w:rFonts w:hint="eastAsia" w:eastAsia="仿宋"/>
                <w:color w:val="000000"/>
                <w:kern w:val="0"/>
                <w:sz w:val="22"/>
                <w:szCs w:val="22"/>
              </w:rPr>
              <w:t>各街镇</w:t>
            </w:r>
            <w:r>
              <w:rPr>
                <w:rFonts w:eastAsia="仿宋"/>
                <w:color w:val="000000"/>
                <w:kern w:val="0"/>
                <w:sz w:val="22"/>
                <w:szCs w:val="22"/>
              </w:rPr>
              <w:t>负责落实，不再列出。</w:t>
            </w:r>
          </w:p>
        </w:tc>
      </w:tr>
      <w:tr>
        <w:tblPrEx>
          <w:tblCellMar>
            <w:top w:w="15" w:type="dxa"/>
            <w:left w:w="15" w:type="dxa"/>
            <w:bottom w:w="15" w:type="dxa"/>
            <w:right w:w="15" w:type="dxa"/>
          </w:tblCellMar>
        </w:tblPrEx>
        <w:trPr>
          <w:trHeight w:val="81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2</w:t>
            </w:r>
          </w:p>
        </w:tc>
        <w:tc>
          <w:tcPr>
            <w:tcW w:w="15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仿宋"/>
                <w:color w:val="000000"/>
                <w:sz w:val="22"/>
                <w:szCs w:val="22"/>
              </w:rPr>
            </w:pPr>
          </w:p>
        </w:tc>
        <w:tc>
          <w:tcPr>
            <w:tcW w:w="53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
                <w:color w:val="000000"/>
                <w:sz w:val="22"/>
                <w:szCs w:val="22"/>
              </w:rPr>
            </w:pPr>
            <w:r>
              <w:rPr>
                <w:rFonts w:eastAsia="仿宋"/>
                <w:color w:val="000000"/>
                <w:kern w:val="0"/>
                <w:sz w:val="22"/>
                <w:szCs w:val="22"/>
              </w:rPr>
              <w:t>深化“亩产论英雄”改革。全面开展企业综合评价，推进产业和区域综合评价，建立健全用能、排污等要素优化配置机制。</w:t>
            </w:r>
          </w:p>
        </w:tc>
        <w:tc>
          <w:tcPr>
            <w:tcW w:w="3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eastAsia="仿宋"/>
                <w:color w:val="000000"/>
                <w:kern w:val="0"/>
                <w:sz w:val="22"/>
                <w:szCs w:val="22"/>
              </w:rPr>
              <w:t>区经信局</w:t>
            </w:r>
          </w:p>
        </w:tc>
        <w:tc>
          <w:tcPr>
            <w:tcW w:w="37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eastAsia="仿宋"/>
                <w:color w:val="000000"/>
                <w:kern w:val="0"/>
                <w:sz w:val="22"/>
                <w:szCs w:val="22"/>
              </w:rPr>
              <w:t>区发改局、</w:t>
            </w:r>
            <w:r>
              <w:rPr>
                <w:rFonts w:hint="eastAsia" w:eastAsia="仿宋"/>
                <w:color w:val="000000"/>
                <w:kern w:val="0"/>
                <w:sz w:val="22"/>
                <w:szCs w:val="22"/>
              </w:rPr>
              <w:t>市生态环境局鹿城分局</w:t>
            </w:r>
          </w:p>
        </w:tc>
      </w:tr>
      <w:tr>
        <w:tblPrEx>
          <w:tblCellMar>
            <w:top w:w="15" w:type="dxa"/>
            <w:left w:w="15" w:type="dxa"/>
            <w:bottom w:w="15" w:type="dxa"/>
            <w:right w:w="15" w:type="dxa"/>
          </w:tblCellMar>
        </w:tblPrEx>
        <w:trPr>
          <w:trHeight w:val="81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3</w:t>
            </w:r>
          </w:p>
        </w:tc>
        <w:tc>
          <w:tcPr>
            <w:tcW w:w="15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仿宋"/>
                <w:color w:val="000000"/>
                <w:sz w:val="22"/>
                <w:szCs w:val="22"/>
              </w:rPr>
            </w:pPr>
          </w:p>
        </w:tc>
        <w:tc>
          <w:tcPr>
            <w:tcW w:w="53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
                <w:color w:val="000000"/>
                <w:sz w:val="22"/>
                <w:szCs w:val="22"/>
              </w:rPr>
            </w:pPr>
            <w:r>
              <w:rPr>
                <w:rFonts w:eastAsia="仿宋"/>
                <w:color w:val="000000"/>
                <w:kern w:val="0"/>
                <w:sz w:val="22"/>
                <w:szCs w:val="22"/>
              </w:rPr>
              <w:t>各地完成生态保护红线、环境质量底线、资源利用上线、环境准入清单编制工作，明确禁止和限制发展的行业、生产工艺和产业目录。</w:t>
            </w:r>
          </w:p>
        </w:tc>
        <w:tc>
          <w:tcPr>
            <w:tcW w:w="3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hint="eastAsia" w:eastAsia="仿宋"/>
                <w:color w:val="000000"/>
                <w:kern w:val="0"/>
                <w:sz w:val="22"/>
                <w:szCs w:val="22"/>
              </w:rPr>
              <w:t>市生态环境局鹿城分局</w:t>
            </w:r>
          </w:p>
        </w:tc>
        <w:tc>
          <w:tcPr>
            <w:tcW w:w="37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eastAsia="仿宋"/>
                <w:color w:val="000000"/>
                <w:kern w:val="0"/>
                <w:sz w:val="22"/>
                <w:szCs w:val="22"/>
              </w:rPr>
              <w:t>区发改局、区经信局、</w:t>
            </w:r>
            <w:r>
              <w:rPr>
                <w:rFonts w:hint="eastAsia" w:eastAsia="仿宋"/>
                <w:color w:val="000000"/>
                <w:kern w:val="0"/>
                <w:sz w:val="22"/>
                <w:szCs w:val="22"/>
              </w:rPr>
              <w:t>市自然资源和规划局鹿城分局</w:t>
            </w:r>
          </w:p>
        </w:tc>
      </w:tr>
      <w:tr>
        <w:tblPrEx>
          <w:tblCellMar>
            <w:top w:w="15" w:type="dxa"/>
            <w:left w:w="15" w:type="dxa"/>
            <w:bottom w:w="15" w:type="dxa"/>
            <w:right w:w="15"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4</w:t>
            </w:r>
          </w:p>
        </w:tc>
        <w:tc>
          <w:tcPr>
            <w:tcW w:w="15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仿宋"/>
                <w:color w:val="000000"/>
                <w:sz w:val="22"/>
                <w:szCs w:val="22"/>
              </w:rPr>
            </w:pPr>
          </w:p>
        </w:tc>
        <w:tc>
          <w:tcPr>
            <w:tcW w:w="53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
                <w:color w:val="000000"/>
                <w:sz w:val="22"/>
                <w:szCs w:val="22"/>
              </w:rPr>
            </w:pPr>
            <w:r>
              <w:rPr>
                <w:rFonts w:eastAsia="仿宋"/>
                <w:color w:val="000000"/>
                <w:kern w:val="0"/>
                <w:sz w:val="22"/>
                <w:szCs w:val="22"/>
              </w:rPr>
              <w:t>修订完善高耗能、高污染和资源型行业准入条件，制订更严格的产业准入门槛。</w:t>
            </w:r>
          </w:p>
        </w:tc>
        <w:tc>
          <w:tcPr>
            <w:tcW w:w="3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eastAsia="仿宋"/>
                <w:color w:val="000000"/>
                <w:kern w:val="0"/>
                <w:sz w:val="22"/>
                <w:szCs w:val="22"/>
              </w:rPr>
              <w:t>区经信局</w:t>
            </w:r>
          </w:p>
        </w:tc>
        <w:tc>
          <w:tcPr>
            <w:tcW w:w="37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eastAsia="仿宋"/>
                <w:color w:val="000000"/>
                <w:kern w:val="0"/>
                <w:sz w:val="22"/>
                <w:szCs w:val="22"/>
              </w:rPr>
              <w:t>区发改局、</w:t>
            </w:r>
            <w:r>
              <w:rPr>
                <w:rFonts w:hint="eastAsia" w:eastAsia="仿宋"/>
                <w:color w:val="000000"/>
                <w:kern w:val="0"/>
                <w:sz w:val="22"/>
                <w:szCs w:val="22"/>
              </w:rPr>
              <w:t>市生态环境局鹿城分局</w:t>
            </w:r>
          </w:p>
        </w:tc>
      </w:tr>
      <w:tr>
        <w:tblPrEx>
          <w:tblCellMar>
            <w:top w:w="15" w:type="dxa"/>
            <w:left w:w="15" w:type="dxa"/>
            <w:bottom w:w="15" w:type="dxa"/>
            <w:right w:w="15" w:type="dxa"/>
          </w:tblCellMar>
        </w:tblPrEx>
        <w:trPr>
          <w:trHeight w:val="108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5</w:t>
            </w:r>
          </w:p>
        </w:tc>
        <w:tc>
          <w:tcPr>
            <w:tcW w:w="15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仿宋"/>
                <w:color w:val="000000"/>
                <w:sz w:val="22"/>
                <w:szCs w:val="22"/>
              </w:rPr>
            </w:pPr>
          </w:p>
        </w:tc>
        <w:tc>
          <w:tcPr>
            <w:tcW w:w="53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
                <w:color w:val="000000"/>
                <w:sz w:val="22"/>
                <w:szCs w:val="22"/>
              </w:rPr>
            </w:pPr>
            <w:r>
              <w:rPr>
                <w:rFonts w:eastAsia="仿宋"/>
                <w:color w:val="000000"/>
                <w:kern w:val="0"/>
                <w:sz w:val="22"/>
                <w:szCs w:val="22"/>
              </w:rPr>
              <w:t>积极推行区域、规划环境影响评价，新、改、扩建化工、石化、建材、有色金属、制鞋、包装印刷、工业涂装、合成革等项目的环境影响评价，应满足区域、规划环评要求。</w:t>
            </w:r>
          </w:p>
        </w:tc>
        <w:tc>
          <w:tcPr>
            <w:tcW w:w="3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hint="eastAsia" w:eastAsia="仿宋"/>
                <w:color w:val="000000"/>
                <w:kern w:val="0"/>
                <w:sz w:val="22"/>
                <w:szCs w:val="22"/>
              </w:rPr>
              <w:t>市生态环境局鹿城分局</w:t>
            </w:r>
          </w:p>
        </w:tc>
        <w:tc>
          <w:tcPr>
            <w:tcW w:w="3719"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color w:val="000000"/>
                <w:sz w:val="22"/>
                <w:szCs w:val="22"/>
              </w:rPr>
            </w:pPr>
          </w:p>
        </w:tc>
      </w:tr>
      <w:tr>
        <w:tblPrEx>
          <w:tblCellMar>
            <w:top w:w="15" w:type="dxa"/>
            <w:left w:w="15" w:type="dxa"/>
            <w:bottom w:w="15" w:type="dxa"/>
            <w:right w:w="15" w:type="dxa"/>
          </w:tblCellMar>
        </w:tblPrEx>
        <w:trPr>
          <w:trHeight w:val="81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6</w:t>
            </w:r>
          </w:p>
        </w:tc>
        <w:tc>
          <w:tcPr>
            <w:tcW w:w="157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eastAsia="仿宋"/>
                <w:color w:val="000000"/>
                <w:kern w:val="0"/>
                <w:sz w:val="22"/>
                <w:szCs w:val="22"/>
              </w:rPr>
              <w:t>严控“两高”行业产能。</w:t>
            </w:r>
          </w:p>
        </w:tc>
        <w:tc>
          <w:tcPr>
            <w:tcW w:w="53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仿宋"/>
                <w:color w:val="000000"/>
                <w:sz w:val="22"/>
                <w:szCs w:val="22"/>
              </w:rPr>
            </w:pPr>
            <w:r>
              <w:rPr>
                <w:rFonts w:eastAsia="仿宋"/>
                <w:color w:val="000000"/>
                <w:kern w:val="0"/>
                <w:sz w:val="22"/>
                <w:szCs w:val="22"/>
              </w:rPr>
              <w:t>严禁新增钢铁、焦化、电解铝、铸造、水泥和平板玻璃等产能；新、改、扩建涉及大宗物料运输的建设项目，原则上不得采用公路运输。</w:t>
            </w:r>
          </w:p>
        </w:tc>
        <w:tc>
          <w:tcPr>
            <w:tcW w:w="3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eastAsia="仿宋"/>
                <w:color w:val="000000"/>
                <w:kern w:val="0"/>
                <w:sz w:val="22"/>
                <w:szCs w:val="22"/>
              </w:rPr>
              <w:t>区经信局、区发改局</w:t>
            </w:r>
          </w:p>
        </w:tc>
        <w:tc>
          <w:tcPr>
            <w:tcW w:w="37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hint="eastAsia" w:eastAsia="仿宋"/>
                <w:color w:val="000000"/>
                <w:kern w:val="0"/>
                <w:sz w:val="22"/>
                <w:szCs w:val="22"/>
              </w:rPr>
              <w:t>市生态环境局鹿城分局</w:t>
            </w:r>
            <w:r>
              <w:rPr>
                <w:rFonts w:eastAsia="仿宋"/>
                <w:color w:val="000000"/>
                <w:kern w:val="0"/>
                <w:sz w:val="22"/>
                <w:szCs w:val="22"/>
              </w:rPr>
              <w:t>、</w:t>
            </w:r>
            <w:r>
              <w:rPr>
                <w:rFonts w:eastAsia="仿宋"/>
                <w:color w:val="000000" w:themeColor="text1"/>
                <w:kern w:val="0"/>
                <w:sz w:val="22"/>
                <w:szCs w:val="22"/>
              </w:rPr>
              <w:t>市交警支队一、二大队、市运管稽查一大队</w:t>
            </w:r>
          </w:p>
        </w:tc>
      </w:tr>
      <w:tr>
        <w:tblPrEx>
          <w:tblCellMar>
            <w:top w:w="15" w:type="dxa"/>
            <w:left w:w="15" w:type="dxa"/>
            <w:bottom w:w="15" w:type="dxa"/>
            <w:right w:w="15"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7</w:t>
            </w:r>
          </w:p>
        </w:tc>
        <w:tc>
          <w:tcPr>
            <w:tcW w:w="15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sz w:val="22"/>
                <w:szCs w:val="22"/>
              </w:rPr>
            </w:pPr>
          </w:p>
        </w:tc>
        <w:tc>
          <w:tcPr>
            <w:tcW w:w="53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sz w:val="22"/>
                <w:szCs w:val="22"/>
              </w:rPr>
            </w:pPr>
            <w:r>
              <w:rPr>
                <w:rFonts w:hint="eastAsia" w:ascii="仿宋_GB2312"/>
                <w:sz w:val="22"/>
                <w:szCs w:val="22"/>
              </w:rPr>
              <w:t>加大落后产能淘汰和过剩产能压减力度。</w:t>
            </w:r>
          </w:p>
        </w:tc>
        <w:tc>
          <w:tcPr>
            <w:tcW w:w="3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区经信局、区发改局</w:t>
            </w:r>
          </w:p>
        </w:tc>
        <w:tc>
          <w:tcPr>
            <w:tcW w:w="37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sz w:val="22"/>
                <w:szCs w:val="22"/>
              </w:rPr>
            </w:pPr>
            <w:r>
              <w:rPr>
                <w:rFonts w:hint="eastAsia" w:ascii="仿宋_GB2312"/>
                <w:sz w:val="22"/>
                <w:szCs w:val="22"/>
              </w:rPr>
              <w:t>区应急管理局、区市场监管局、市生态环境局鹿城分局</w:t>
            </w:r>
          </w:p>
        </w:tc>
      </w:tr>
      <w:tr>
        <w:tblPrEx>
          <w:tblCellMar>
            <w:top w:w="15" w:type="dxa"/>
            <w:left w:w="15" w:type="dxa"/>
            <w:bottom w:w="15" w:type="dxa"/>
            <w:right w:w="15" w:type="dxa"/>
          </w:tblCellMar>
        </w:tblPrEx>
        <w:trPr>
          <w:trHeight w:val="286"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8</w:t>
            </w:r>
          </w:p>
        </w:tc>
        <w:tc>
          <w:tcPr>
            <w:tcW w:w="15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sz w:val="22"/>
                <w:szCs w:val="22"/>
              </w:rPr>
            </w:pPr>
          </w:p>
        </w:tc>
        <w:tc>
          <w:tcPr>
            <w:tcW w:w="53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sz w:val="22"/>
                <w:szCs w:val="22"/>
              </w:rPr>
            </w:pPr>
            <w:r>
              <w:rPr>
                <w:rFonts w:hint="eastAsia" w:ascii="仿宋_GB2312"/>
                <w:sz w:val="22"/>
                <w:szCs w:val="22"/>
              </w:rPr>
              <w:t>严防“地条钢”死灰复燃。</w:t>
            </w:r>
          </w:p>
        </w:tc>
        <w:tc>
          <w:tcPr>
            <w:tcW w:w="3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区经信局、区发改局</w:t>
            </w:r>
          </w:p>
        </w:tc>
        <w:tc>
          <w:tcPr>
            <w:tcW w:w="37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sz w:val="22"/>
                <w:szCs w:val="22"/>
              </w:rPr>
            </w:pPr>
          </w:p>
        </w:tc>
      </w:tr>
      <w:tr>
        <w:tblPrEx>
          <w:tblCellMar>
            <w:top w:w="15" w:type="dxa"/>
            <w:left w:w="15" w:type="dxa"/>
            <w:bottom w:w="15" w:type="dxa"/>
            <w:right w:w="15" w:type="dxa"/>
          </w:tblCellMar>
        </w:tblPrEx>
        <w:trPr>
          <w:trHeight w:val="81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9</w:t>
            </w:r>
          </w:p>
        </w:tc>
        <w:tc>
          <w:tcPr>
            <w:tcW w:w="15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sz w:val="22"/>
                <w:szCs w:val="22"/>
              </w:rPr>
            </w:pPr>
            <w:r>
              <w:rPr>
                <w:rFonts w:hint="eastAsia" w:ascii="仿宋_GB2312"/>
                <w:sz w:val="22"/>
                <w:szCs w:val="22"/>
              </w:rPr>
              <w:t>全面整治“散乱污”企业</w:t>
            </w:r>
          </w:p>
        </w:tc>
        <w:tc>
          <w:tcPr>
            <w:tcW w:w="53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sz w:val="22"/>
                <w:szCs w:val="22"/>
              </w:rPr>
            </w:pPr>
            <w:r>
              <w:rPr>
                <w:rFonts w:hint="eastAsia" w:ascii="仿宋_GB2312"/>
                <w:sz w:val="22"/>
                <w:szCs w:val="22"/>
              </w:rPr>
              <w:t>全面开展“散乱污”涉气企业及集群综合整治行动。2018年完成30家涉挥发性有机物排放的“散乱污”企业清理整顿任务，2019年基本完成整治任务。</w:t>
            </w:r>
          </w:p>
        </w:tc>
        <w:tc>
          <w:tcPr>
            <w:tcW w:w="3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市生态环境局鹿城分局、区经信局</w:t>
            </w:r>
          </w:p>
        </w:tc>
        <w:tc>
          <w:tcPr>
            <w:tcW w:w="37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sz w:val="22"/>
                <w:szCs w:val="22"/>
              </w:rPr>
            </w:pPr>
            <w:r>
              <w:rPr>
                <w:rFonts w:hint="eastAsia" w:ascii="仿宋_GB2312"/>
                <w:sz w:val="22"/>
                <w:szCs w:val="22"/>
              </w:rPr>
              <w:t>区发改局、区市场监管局、市自然资源和规划局鹿城分局</w:t>
            </w:r>
          </w:p>
        </w:tc>
      </w:tr>
      <w:tr>
        <w:tblPrEx>
          <w:tblCellMar>
            <w:top w:w="15" w:type="dxa"/>
            <w:left w:w="15" w:type="dxa"/>
            <w:bottom w:w="15" w:type="dxa"/>
            <w:right w:w="15"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10</w:t>
            </w:r>
          </w:p>
        </w:tc>
        <w:tc>
          <w:tcPr>
            <w:tcW w:w="157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sz w:val="22"/>
                <w:szCs w:val="22"/>
              </w:rPr>
            </w:pPr>
            <w:r>
              <w:rPr>
                <w:rFonts w:hint="eastAsia" w:ascii="仿宋_GB2312"/>
                <w:sz w:val="22"/>
                <w:szCs w:val="22"/>
              </w:rPr>
              <w:t>实施园区改造提升</w:t>
            </w:r>
          </w:p>
        </w:tc>
        <w:tc>
          <w:tcPr>
            <w:tcW w:w="53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sz w:val="22"/>
                <w:szCs w:val="22"/>
              </w:rPr>
            </w:pPr>
            <w:r>
              <w:rPr>
                <w:rFonts w:hint="eastAsia" w:ascii="仿宋_GB2312"/>
                <w:sz w:val="22"/>
                <w:szCs w:val="22"/>
              </w:rPr>
              <w:t>推进各类园区循环化改造、规范发展和提质增效。完善园区集中供热设施，积极推广集中供热。</w:t>
            </w:r>
          </w:p>
        </w:tc>
        <w:tc>
          <w:tcPr>
            <w:tcW w:w="3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区发改局</w:t>
            </w:r>
          </w:p>
        </w:tc>
        <w:tc>
          <w:tcPr>
            <w:tcW w:w="37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区经信局、市生态环境局鹿城分局</w:t>
            </w:r>
          </w:p>
        </w:tc>
      </w:tr>
      <w:tr>
        <w:tblPrEx>
          <w:tblCellMar>
            <w:top w:w="15" w:type="dxa"/>
            <w:left w:w="15" w:type="dxa"/>
            <w:bottom w:w="15" w:type="dxa"/>
            <w:right w:w="15" w:type="dxa"/>
          </w:tblCellMar>
        </w:tblPrEx>
        <w:trPr>
          <w:trHeight w:val="437"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11</w:t>
            </w:r>
          </w:p>
        </w:tc>
        <w:tc>
          <w:tcPr>
            <w:tcW w:w="15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sz w:val="22"/>
                <w:szCs w:val="22"/>
              </w:rPr>
            </w:pPr>
          </w:p>
        </w:tc>
        <w:tc>
          <w:tcPr>
            <w:tcW w:w="53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sz w:val="22"/>
                <w:szCs w:val="22"/>
              </w:rPr>
            </w:pPr>
            <w:r>
              <w:rPr>
                <w:rFonts w:hint="eastAsia" w:ascii="仿宋_GB2312"/>
                <w:sz w:val="22"/>
                <w:szCs w:val="22"/>
              </w:rPr>
              <w:t>大力推进企业清洁生产。</w:t>
            </w:r>
          </w:p>
        </w:tc>
        <w:tc>
          <w:tcPr>
            <w:tcW w:w="3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区经信局</w:t>
            </w:r>
          </w:p>
        </w:tc>
        <w:tc>
          <w:tcPr>
            <w:tcW w:w="37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区发改局、市生态环境局鹿城分局</w:t>
            </w:r>
          </w:p>
        </w:tc>
      </w:tr>
      <w:tr>
        <w:tblPrEx>
          <w:tblCellMar>
            <w:top w:w="15" w:type="dxa"/>
            <w:left w:w="15" w:type="dxa"/>
            <w:bottom w:w="15" w:type="dxa"/>
            <w:right w:w="15" w:type="dxa"/>
          </w:tblCellMar>
        </w:tblPrEx>
        <w:trPr>
          <w:trHeight w:val="1891"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12</w:t>
            </w:r>
          </w:p>
        </w:tc>
        <w:tc>
          <w:tcPr>
            <w:tcW w:w="15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sz w:val="22"/>
                <w:szCs w:val="22"/>
              </w:rPr>
            </w:pPr>
          </w:p>
        </w:tc>
        <w:tc>
          <w:tcPr>
            <w:tcW w:w="53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sz w:val="22"/>
                <w:szCs w:val="22"/>
              </w:rPr>
            </w:pPr>
            <w:r>
              <w:rPr>
                <w:rFonts w:hint="eastAsia" w:ascii="仿宋_GB2312"/>
                <w:sz w:val="22"/>
                <w:szCs w:val="22"/>
              </w:rPr>
              <w:t>鹿城区的时尚智造区(丰门街道和双屿街道辖区范围的中国鞋都一、二、三期和总部经济园以及仰义沿江工业区)、现代都市工业区(包括炬光园为中心的南郊片区)、先进装备制造区(包括轻工产业园区、含沙头分园、藤桥服饰园区)等重点工业片区(产业集聚区)进行集中整治。有条件的工业集聚区建设集中喷涂工程中心。</w:t>
            </w:r>
          </w:p>
        </w:tc>
        <w:tc>
          <w:tcPr>
            <w:tcW w:w="3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市生态环境局鹿城分局、区发改局</w:t>
            </w:r>
          </w:p>
        </w:tc>
        <w:tc>
          <w:tcPr>
            <w:tcW w:w="37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区经信局</w:t>
            </w:r>
          </w:p>
        </w:tc>
      </w:tr>
      <w:tr>
        <w:tblPrEx>
          <w:tblCellMar>
            <w:top w:w="15" w:type="dxa"/>
            <w:left w:w="15" w:type="dxa"/>
            <w:bottom w:w="15" w:type="dxa"/>
            <w:right w:w="15"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13</w:t>
            </w:r>
          </w:p>
        </w:tc>
        <w:tc>
          <w:tcPr>
            <w:tcW w:w="157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sz w:val="22"/>
                <w:szCs w:val="22"/>
              </w:rPr>
            </w:pPr>
            <w:r>
              <w:rPr>
                <w:rFonts w:hint="eastAsia" w:ascii="仿宋_GB2312"/>
                <w:sz w:val="22"/>
                <w:szCs w:val="22"/>
              </w:rPr>
              <w:t>大力培育绿色环保产业</w:t>
            </w:r>
          </w:p>
        </w:tc>
        <w:tc>
          <w:tcPr>
            <w:tcW w:w="53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sz w:val="22"/>
                <w:szCs w:val="22"/>
              </w:rPr>
            </w:pPr>
            <w:r>
              <w:rPr>
                <w:rFonts w:hint="eastAsia" w:ascii="仿宋_GB2312"/>
                <w:sz w:val="22"/>
                <w:szCs w:val="22"/>
              </w:rPr>
              <w:t>壮大绿色产业规模，发展节能环保产业、清洁生产产业、清洁能源产业。</w:t>
            </w:r>
          </w:p>
        </w:tc>
        <w:tc>
          <w:tcPr>
            <w:tcW w:w="3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区发改局、市生态环境局鹿城分局</w:t>
            </w:r>
          </w:p>
        </w:tc>
        <w:tc>
          <w:tcPr>
            <w:tcW w:w="37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区经信局、区科技局</w:t>
            </w:r>
          </w:p>
        </w:tc>
      </w:tr>
      <w:tr>
        <w:tblPrEx>
          <w:tblCellMar>
            <w:top w:w="15" w:type="dxa"/>
            <w:left w:w="15" w:type="dxa"/>
            <w:bottom w:w="15" w:type="dxa"/>
            <w:right w:w="15"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14</w:t>
            </w:r>
          </w:p>
        </w:tc>
        <w:tc>
          <w:tcPr>
            <w:tcW w:w="15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sz w:val="22"/>
                <w:szCs w:val="22"/>
              </w:rPr>
            </w:pPr>
          </w:p>
        </w:tc>
        <w:tc>
          <w:tcPr>
            <w:tcW w:w="53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sz w:val="22"/>
                <w:szCs w:val="22"/>
              </w:rPr>
            </w:pPr>
            <w:r>
              <w:rPr>
                <w:rFonts w:hint="eastAsia" w:ascii="仿宋_GB2312"/>
                <w:sz w:val="22"/>
                <w:szCs w:val="22"/>
              </w:rPr>
              <w:t>积极推行节能环保整体解决方案，加快发展合同能源管理、环境污染第三方治理和社会化监测等新业态。</w:t>
            </w:r>
          </w:p>
        </w:tc>
        <w:tc>
          <w:tcPr>
            <w:tcW w:w="3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区发改局、市生态环境局鹿城分局</w:t>
            </w:r>
          </w:p>
        </w:tc>
        <w:tc>
          <w:tcPr>
            <w:tcW w:w="37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区经信局</w:t>
            </w:r>
          </w:p>
        </w:tc>
      </w:tr>
      <w:tr>
        <w:tblPrEx>
          <w:tblCellMar>
            <w:top w:w="15" w:type="dxa"/>
            <w:left w:w="15" w:type="dxa"/>
            <w:bottom w:w="15" w:type="dxa"/>
            <w:right w:w="15" w:type="dxa"/>
          </w:tblCellMar>
        </w:tblPrEx>
        <w:trPr>
          <w:trHeight w:val="286" w:hRule="atLeast"/>
        </w:trPr>
        <w:tc>
          <w:tcPr>
            <w:tcW w:w="14880"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仿宋"/>
                <w:color w:val="000000"/>
                <w:sz w:val="22"/>
                <w:szCs w:val="22"/>
              </w:rPr>
            </w:pPr>
            <w:r>
              <w:rPr>
                <w:rFonts w:eastAsia="仿宋"/>
                <w:color w:val="000000"/>
                <w:kern w:val="0"/>
                <w:sz w:val="22"/>
                <w:szCs w:val="22"/>
              </w:rPr>
              <w:t>二、调整能源结构，推进清洁利用</w:t>
            </w:r>
          </w:p>
        </w:tc>
      </w:tr>
      <w:tr>
        <w:tblPrEx>
          <w:tblCellMar>
            <w:top w:w="15" w:type="dxa"/>
            <w:left w:w="15" w:type="dxa"/>
            <w:bottom w:w="15" w:type="dxa"/>
            <w:right w:w="15"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15</w:t>
            </w:r>
          </w:p>
        </w:tc>
        <w:tc>
          <w:tcPr>
            <w:tcW w:w="157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积极发展清洁能源</w:t>
            </w:r>
          </w:p>
        </w:tc>
        <w:tc>
          <w:tcPr>
            <w:tcW w:w="5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积极引导用能企业实施清洁能源替代，提升非化石能源占能源消费总量比重。</w:t>
            </w:r>
          </w:p>
        </w:tc>
        <w:tc>
          <w:tcPr>
            <w:tcW w:w="3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eastAsia="仿宋"/>
                <w:color w:val="000000"/>
                <w:kern w:val="0"/>
                <w:sz w:val="22"/>
                <w:szCs w:val="22"/>
              </w:rPr>
              <w:t>区发改局</w:t>
            </w:r>
          </w:p>
        </w:tc>
        <w:tc>
          <w:tcPr>
            <w:tcW w:w="37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eastAsia="仿宋"/>
                <w:color w:val="000000"/>
                <w:kern w:val="0"/>
                <w:sz w:val="22"/>
                <w:szCs w:val="22"/>
              </w:rPr>
              <w:t>区财政局</w:t>
            </w:r>
          </w:p>
        </w:tc>
      </w:tr>
      <w:tr>
        <w:tblPrEx>
          <w:tblCellMar>
            <w:top w:w="15" w:type="dxa"/>
            <w:left w:w="15" w:type="dxa"/>
            <w:bottom w:w="15" w:type="dxa"/>
            <w:right w:w="15"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16</w:t>
            </w:r>
          </w:p>
        </w:tc>
        <w:tc>
          <w:tcPr>
            <w:tcW w:w="15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p>
        </w:tc>
        <w:tc>
          <w:tcPr>
            <w:tcW w:w="53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sz w:val="22"/>
                <w:szCs w:val="22"/>
              </w:rPr>
            </w:pPr>
            <w:r>
              <w:rPr>
                <w:rFonts w:hint="eastAsia" w:ascii="仿宋_GB2312"/>
                <w:sz w:val="22"/>
                <w:szCs w:val="22"/>
              </w:rPr>
              <w:t>进一步完善城乡配气管网建设，提高全区天然气利用水平。</w:t>
            </w:r>
          </w:p>
        </w:tc>
        <w:tc>
          <w:tcPr>
            <w:tcW w:w="3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eastAsia="仿宋"/>
                <w:color w:val="000000"/>
                <w:kern w:val="0"/>
                <w:sz w:val="22"/>
                <w:szCs w:val="22"/>
              </w:rPr>
              <w:t>区发改局</w:t>
            </w:r>
          </w:p>
        </w:tc>
        <w:tc>
          <w:tcPr>
            <w:tcW w:w="37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eastAsia="仿宋"/>
                <w:color w:val="000000"/>
                <w:kern w:val="0"/>
                <w:sz w:val="22"/>
                <w:szCs w:val="22"/>
              </w:rPr>
              <w:t>区财政局</w:t>
            </w:r>
          </w:p>
        </w:tc>
      </w:tr>
      <w:tr>
        <w:tblPrEx>
          <w:tblCellMar>
            <w:top w:w="15" w:type="dxa"/>
            <w:left w:w="15" w:type="dxa"/>
            <w:bottom w:w="15" w:type="dxa"/>
            <w:right w:w="15" w:type="dxa"/>
          </w:tblCellMar>
        </w:tblPrEx>
        <w:trPr>
          <w:trHeight w:val="90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18</w:t>
            </w:r>
          </w:p>
        </w:tc>
        <w:tc>
          <w:tcPr>
            <w:tcW w:w="157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控制煤炭消费总量</w:t>
            </w:r>
          </w:p>
        </w:tc>
        <w:tc>
          <w:tcPr>
            <w:tcW w:w="53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sz w:val="22"/>
                <w:szCs w:val="22"/>
              </w:rPr>
            </w:pPr>
            <w:r>
              <w:rPr>
                <w:rFonts w:hint="eastAsia" w:ascii="仿宋_GB2312"/>
                <w:sz w:val="22"/>
                <w:szCs w:val="22"/>
              </w:rPr>
              <w:t>严把耗煤新项目准入关，实施煤炭减量替代。到2020年，全区煤炭占能源消费总量比重下降到42.8%以下，全区煤炭消费总量比2015年下降5%。</w:t>
            </w:r>
          </w:p>
        </w:tc>
        <w:tc>
          <w:tcPr>
            <w:tcW w:w="3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eastAsia="仿宋"/>
                <w:color w:val="000000"/>
                <w:kern w:val="0"/>
                <w:sz w:val="22"/>
                <w:szCs w:val="22"/>
              </w:rPr>
              <w:t>区发改局</w:t>
            </w:r>
          </w:p>
        </w:tc>
        <w:tc>
          <w:tcPr>
            <w:tcW w:w="37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hint="eastAsia" w:eastAsia="仿宋"/>
                <w:color w:val="000000"/>
                <w:kern w:val="0"/>
                <w:sz w:val="22"/>
                <w:szCs w:val="22"/>
              </w:rPr>
              <w:t>市生态环境局鹿城分局</w:t>
            </w:r>
          </w:p>
        </w:tc>
      </w:tr>
      <w:tr>
        <w:tblPrEx>
          <w:tblCellMar>
            <w:top w:w="15" w:type="dxa"/>
            <w:left w:w="15" w:type="dxa"/>
            <w:bottom w:w="15" w:type="dxa"/>
            <w:right w:w="15"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19</w:t>
            </w:r>
          </w:p>
        </w:tc>
        <w:tc>
          <w:tcPr>
            <w:tcW w:w="15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p>
        </w:tc>
        <w:tc>
          <w:tcPr>
            <w:tcW w:w="53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sz w:val="22"/>
                <w:szCs w:val="22"/>
              </w:rPr>
            </w:pPr>
            <w:r>
              <w:rPr>
                <w:rFonts w:hint="eastAsia" w:ascii="仿宋_GB2312"/>
                <w:sz w:val="22"/>
                <w:szCs w:val="22"/>
              </w:rPr>
              <w:t>不再新建35蒸吨/小时及以下燃煤锅炉。</w:t>
            </w:r>
          </w:p>
        </w:tc>
        <w:tc>
          <w:tcPr>
            <w:tcW w:w="3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hint="eastAsia" w:eastAsia="仿宋"/>
                <w:color w:val="000000"/>
                <w:kern w:val="0"/>
                <w:sz w:val="22"/>
                <w:szCs w:val="22"/>
              </w:rPr>
              <w:t>区市场监管局</w:t>
            </w:r>
          </w:p>
        </w:tc>
        <w:tc>
          <w:tcPr>
            <w:tcW w:w="37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eastAsia="仿宋"/>
                <w:color w:val="000000"/>
                <w:kern w:val="0"/>
                <w:sz w:val="22"/>
                <w:szCs w:val="22"/>
              </w:rPr>
              <w:t>区发改局、</w:t>
            </w:r>
            <w:r>
              <w:rPr>
                <w:rFonts w:hint="eastAsia" w:eastAsia="仿宋"/>
                <w:color w:val="000000"/>
                <w:kern w:val="0"/>
                <w:sz w:val="22"/>
                <w:szCs w:val="22"/>
              </w:rPr>
              <w:t>市生态环境局鹿城分局</w:t>
            </w:r>
          </w:p>
        </w:tc>
      </w:tr>
      <w:tr>
        <w:tblPrEx>
          <w:tblCellMar>
            <w:top w:w="15" w:type="dxa"/>
            <w:left w:w="15" w:type="dxa"/>
            <w:bottom w:w="15" w:type="dxa"/>
            <w:right w:w="15" w:type="dxa"/>
          </w:tblCellMar>
        </w:tblPrEx>
        <w:trPr>
          <w:trHeight w:val="301"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20</w:t>
            </w:r>
          </w:p>
        </w:tc>
        <w:tc>
          <w:tcPr>
            <w:tcW w:w="15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p>
        </w:tc>
        <w:tc>
          <w:tcPr>
            <w:tcW w:w="53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sz w:val="22"/>
                <w:szCs w:val="22"/>
              </w:rPr>
            </w:pPr>
            <w:r>
              <w:rPr>
                <w:rFonts w:hint="eastAsia" w:ascii="仿宋_GB2312"/>
                <w:sz w:val="22"/>
                <w:szCs w:val="22"/>
              </w:rPr>
              <w:t>到2020年，接受外送电量比例达到38%以上。</w:t>
            </w:r>
          </w:p>
        </w:tc>
        <w:tc>
          <w:tcPr>
            <w:tcW w:w="3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hint="eastAsia" w:eastAsia="仿宋"/>
                <w:color w:val="000000"/>
                <w:kern w:val="0"/>
                <w:sz w:val="22"/>
                <w:szCs w:val="22"/>
              </w:rPr>
              <w:t>鹿城供电分局</w:t>
            </w:r>
          </w:p>
        </w:tc>
        <w:tc>
          <w:tcPr>
            <w:tcW w:w="37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p>
        </w:tc>
      </w:tr>
      <w:tr>
        <w:tblPrEx>
          <w:tblCellMar>
            <w:top w:w="15" w:type="dxa"/>
            <w:left w:w="15" w:type="dxa"/>
            <w:bottom w:w="15" w:type="dxa"/>
            <w:right w:w="15" w:type="dxa"/>
          </w:tblCellMar>
        </w:tblPrEx>
        <w:trPr>
          <w:trHeight w:val="108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21</w:t>
            </w:r>
          </w:p>
        </w:tc>
        <w:tc>
          <w:tcPr>
            <w:tcW w:w="157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开展燃煤锅炉综合整治</w:t>
            </w:r>
          </w:p>
        </w:tc>
        <w:tc>
          <w:tcPr>
            <w:tcW w:w="53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sz w:val="22"/>
                <w:szCs w:val="22"/>
              </w:rPr>
            </w:pPr>
            <w:r>
              <w:rPr>
                <w:rFonts w:hint="eastAsia" w:ascii="仿宋_GB2312"/>
                <w:sz w:val="22"/>
                <w:szCs w:val="22"/>
              </w:rPr>
              <w:t>扩大禁燃区建设范围，根据《温州市人民政府关于扩大市区高污染燃料禁燃区范围的通知》要求，鹿城区高污染燃料禁燃区范围扩大至除藤桥镇和山福镇以外的全部区域。</w:t>
            </w:r>
          </w:p>
        </w:tc>
        <w:tc>
          <w:tcPr>
            <w:tcW w:w="3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eastAsia="仿宋"/>
                <w:color w:val="000000"/>
                <w:kern w:val="0"/>
                <w:sz w:val="22"/>
                <w:szCs w:val="22"/>
              </w:rPr>
              <w:t>区发改局</w:t>
            </w:r>
          </w:p>
        </w:tc>
        <w:tc>
          <w:tcPr>
            <w:tcW w:w="37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hint="eastAsia" w:eastAsia="仿宋"/>
                <w:color w:val="000000"/>
                <w:kern w:val="0"/>
                <w:sz w:val="22"/>
                <w:szCs w:val="22"/>
              </w:rPr>
              <w:t>市生态环境局鹿城分局</w:t>
            </w:r>
          </w:p>
        </w:tc>
      </w:tr>
      <w:tr>
        <w:tblPrEx>
          <w:tblCellMar>
            <w:top w:w="15" w:type="dxa"/>
            <w:left w:w="15" w:type="dxa"/>
            <w:bottom w:w="15" w:type="dxa"/>
            <w:right w:w="15" w:type="dxa"/>
          </w:tblCellMar>
        </w:tblPrEx>
        <w:trPr>
          <w:trHeight w:val="111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22</w:t>
            </w:r>
          </w:p>
        </w:tc>
        <w:tc>
          <w:tcPr>
            <w:tcW w:w="15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p>
        </w:tc>
        <w:tc>
          <w:tcPr>
            <w:tcW w:w="53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sz w:val="22"/>
                <w:szCs w:val="22"/>
              </w:rPr>
            </w:pPr>
            <w:r>
              <w:rPr>
                <w:rFonts w:hint="eastAsia" w:ascii="仿宋_GB2312"/>
                <w:sz w:val="22"/>
                <w:szCs w:val="22"/>
              </w:rPr>
              <w:t>全面淘汰10蒸吨/小时及以下燃煤锅炉，建成区基本淘汰茶水炉、经营性炉灶、储粮烘干设备等燃煤设施。全市基本淘汰10蒸吨/小时以上35蒸吨/小时以下的燃煤锅炉。</w:t>
            </w:r>
          </w:p>
        </w:tc>
        <w:tc>
          <w:tcPr>
            <w:tcW w:w="3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eastAsia="仿宋"/>
                <w:color w:val="000000"/>
                <w:kern w:val="0"/>
                <w:sz w:val="22"/>
                <w:szCs w:val="22"/>
              </w:rPr>
              <w:t>区发改局、</w:t>
            </w:r>
            <w:r>
              <w:rPr>
                <w:rFonts w:hint="eastAsia" w:eastAsia="仿宋"/>
                <w:color w:val="000000"/>
                <w:kern w:val="0"/>
                <w:sz w:val="22"/>
                <w:szCs w:val="22"/>
              </w:rPr>
              <w:t>区市场监管局</w:t>
            </w:r>
            <w:r>
              <w:rPr>
                <w:rFonts w:eastAsia="仿宋"/>
                <w:color w:val="000000"/>
                <w:kern w:val="0"/>
                <w:sz w:val="22"/>
                <w:szCs w:val="22"/>
              </w:rPr>
              <w:t>、</w:t>
            </w:r>
            <w:r>
              <w:rPr>
                <w:rFonts w:hint="eastAsia" w:eastAsia="仿宋"/>
                <w:color w:val="000000"/>
                <w:kern w:val="0"/>
                <w:sz w:val="22"/>
                <w:szCs w:val="22"/>
              </w:rPr>
              <w:t>市生态环境局鹿城分局</w:t>
            </w:r>
          </w:p>
        </w:tc>
        <w:tc>
          <w:tcPr>
            <w:tcW w:w="37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eastAsia="仿宋"/>
                <w:color w:val="000000"/>
                <w:kern w:val="0"/>
                <w:sz w:val="22"/>
                <w:szCs w:val="22"/>
              </w:rPr>
              <w:t>区财政局</w:t>
            </w:r>
          </w:p>
        </w:tc>
      </w:tr>
      <w:tr>
        <w:tblPrEx>
          <w:tblCellMar>
            <w:top w:w="15" w:type="dxa"/>
            <w:left w:w="15" w:type="dxa"/>
            <w:bottom w:w="15" w:type="dxa"/>
            <w:right w:w="15" w:type="dxa"/>
          </w:tblCellMar>
        </w:tblPrEx>
        <w:trPr>
          <w:trHeight w:val="84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23</w:t>
            </w:r>
          </w:p>
        </w:tc>
        <w:tc>
          <w:tcPr>
            <w:tcW w:w="15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p>
        </w:tc>
        <w:tc>
          <w:tcPr>
            <w:tcW w:w="53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sz w:val="22"/>
                <w:szCs w:val="22"/>
              </w:rPr>
            </w:pPr>
            <w:r>
              <w:rPr>
                <w:rFonts w:hint="eastAsia" w:ascii="仿宋_GB2312"/>
                <w:sz w:val="22"/>
                <w:szCs w:val="22"/>
              </w:rPr>
              <w:t>35蒸吨/小时及以上高污染燃料锅炉完成节能和超低排放改造。燃气锅炉基本完成低氮改造；城市建成区生物质锅炉实施超低排放改造。</w:t>
            </w:r>
          </w:p>
        </w:tc>
        <w:tc>
          <w:tcPr>
            <w:tcW w:w="3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hint="eastAsia" w:eastAsia="仿宋"/>
                <w:color w:val="000000"/>
                <w:kern w:val="0"/>
                <w:sz w:val="22"/>
                <w:szCs w:val="22"/>
              </w:rPr>
              <w:t>市生态环境局鹿城分局</w:t>
            </w:r>
          </w:p>
        </w:tc>
        <w:tc>
          <w:tcPr>
            <w:tcW w:w="37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eastAsia="仿宋"/>
                <w:color w:val="000000"/>
                <w:kern w:val="0"/>
                <w:sz w:val="22"/>
                <w:szCs w:val="22"/>
              </w:rPr>
              <w:t>区发改局、</w:t>
            </w:r>
            <w:r>
              <w:rPr>
                <w:rFonts w:hint="eastAsia" w:eastAsia="仿宋"/>
                <w:color w:val="000000"/>
                <w:kern w:val="0"/>
                <w:sz w:val="22"/>
                <w:szCs w:val="22"/>
              </w:rPr>
              <w:t>区市场监管局</w:t>
            </w:r>
          </w:p>
        </w:tc>
      </w:tr>
      <w:tr>
        <w:tblPrEx>
          <w:tblCellMar>
            <w:top w:w="15" w:type="dxa"/>
            <w:left w:w="15" w:type="dxa"/>
            <w:bottom w:w="15" w:type="dxa"/>
            <w:right w:w="15" w:type="dxa"/>
          </w:tblCellMar>
        </w:tblPrEx>
        <w:trPr>
          <w:trHeight w:val="286"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24</w:t>
            </w:r>
          </w:p>
        </w:tc>
        <w:tc>
          <w:tcPr>
            <w:tcW w:w="157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提高能源利用效率</w:t>
            </w:r>
          </w:p>
        </w:tc>
        <w:tc>
          <w:tcPr>
            <w:tcW w:w="53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sz w:val="22"/>
                <w:szCs w:val="22"/>
              </w:rPr>
            </w:pPr>
            <w:r>
              <w:rPr>
                <w:rFonts w:hint="eastAsia" w:ascii="仿宋_GB2312"/>
                <w:sz w:val="22"/>
                <w:szCs w:val="22"/>
              </w:rPr>
              <w:t>加强能源消费总量和能源消费强度双控。</w:t>
            </w:r>
          </w:p>
        </w:tc>
        <w:tc>
          <w:tcPr>
            <w:tcW w:w="3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eastAsia="仿宋"/>
                <w:color w:val="000000"/>
                <w:kern w:val="0"/>
                <w:sz w:val="22"/>
                <w:szCs w:val="22"/>
              </w:rPr>
              <w:t>区发改局</w:t>
            </w:r>
          </w:p>
        </w:tc>
        <w:tc>
          <w:tcPr>
            <w:tcW w:w="37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p>
        </w:tc>
      </w:tr>
      <w:tr>
        <w:tblPrEx>
          <w:tblCellMar>
            <w:top w:w="15" w:type="dxa"/>
            <w:left w:w="15" w:type="dxa"/>
            <w:bottom w:w="15" w:type="dxa"/>
            <w:right w:w="15" w:type="dxa"/>
          </w:tblCellMar>
        </w:tblPrEx>
        <w:trPr>
          <w:trHeight w:val="81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25</w:t>
            </w:r>
          </w:p>
        </w:tc>
        <w:tc>
          <w:tcPr>
            <w:tcW w:w="15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p>
        </w:tc>
        <w:tc>
          <w:tcPr>
            <w:tcW w:w="53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sz w:val="22"/>
                <w:szCs w:val="22"/>
              </w:rPr>
            </w:pPr>
            <w:r>
              <w:rPr>
                <w:rFonts w:hint="eastAsia" w:ascii="仿宋_GB2312"/>
                <w:sz w:val="22"/>
                <w:szCs w:val="22"/>
              </w:rPr>
              <w:t>城镇新建民用建筑全面执行绿色建筑标准。加强公共建筑用能监管，推进既有公共建筑、居住建筑节能改造。鼓励开展农村住房节能改造。</w:t>
            </w:r>
          </w:p>
        </w:tc>
        <w:tc>
          <w:tcPr>
            <w:tcW w:w="3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eastAsia="仿宋"/>
                <w:color w:val="000000"/>
                <w:kern w:val="0"/>
                <w:sz w:val="22"/>
                <w:szCs w:val="22"/>
              </w:rPr>
              <w:t>区住建局</w:t>
            </w:r>
          </w:p>
        </w:tc>
        <w:tc>
          <w:tcPr>
            <w:tcW w:w="37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eastAsia="仿宋"/>
                <w:color w:val="000000"/>
                <w:kern w:val="0"/>
                <w:sz w:val="22"/>
                <w:szCs w:val="22"/>
              </w:rPr>
              <w:t>区发改局</w:t>
            </w:r>
          </w:p>
        </w:tc>
      </w:tr>
      <w:tr>
        <w:tblPrEx>
          <w:tblCellMar>
            <w:top w:w="15" w:type="dxa"/>
            <w:left w:w="15" w:type="dxa"/>
            <w:bottom w:w="15" w:type="dxa"/>
            <w:right w:w="15" w:type="dxa"/>
          </w:tblCellMar>
        </w:tblPrEx>
        <w:trPr>
          <w:trHeight w:val="286"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26</w:t>
            </w:r>
          </w:p>
        </w:tc>
        <w:tc>
          <w:tcPr>
            <w:tcW w:w="15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p>
        </w:tc>
        <w:tc>
          <w:tcPr>
            <w:tcW w:w="53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sz w:val="22"/>
                <w:szCs w:val="22"/>
              </w:rPr>
            </w:pPr>
            <w:r>
              <w:rPr>
                <w:rFonts w:hint="eastAsia" w:ascii="仿宋_GB2312"/>
                <w:sz w:val="22"/>
                <w:szCs w:val="22"/>
              </w:rPr>
              <w:t>开展重点用能单位能源计量审查、能效对标和能效诊断活动。</w:t>
            </w:r>
          </w:p>
        </w:tc>
        <w:tc>
          <w:tcPr>
            <w:tcW w:w="3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hint="eastAsia" w:eastAsia="仿宋"/>
                <w:color w:val="000000"/>
                <w:kern w:val="0"/>
                <w:sz w:val="22"/>
                <w:szCs w:val="22"/>
              </w:rPr>
              <w:t>区市场监管局</w:t>
            </w:r>
          </w:p>
        </w:tc>
        <w:tc>
          <w:tcPr>
            <w:tcW w:w="37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eastAsia="仿宋"/>
                <w:color w:val="000000"/>
                <w:kern w:val="0"/>
                <w:sz w:val="22"/>
                <w:szCs w:val="22"/>
              </w:rPr>
              <w:t>区发改局</w:t>
            </w:r>
          </w:p>
        </w:tc>
      </w:tr>
      <w:tr>
        <w:tblPrEx>
          <w:tblCellMar>
            <w:top w:w="15" w:type="dxa"/>
            <w:left w:w="15" w:type="dxa"/>
            <w:bottom w:w="15" w:type="dxa"/>
            <w:right w:w="15" w:type="dxa"/>
          </w:tblCellMar>
        </w:tblPrEx>
        <w:trPr>
          <w:trHeight w:val="286" w:hRule="atLeast"/>
        </w:trPr>
        <w:tc>
          <w:tcPr>
            <w:tcW w:w="14880"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仿宋"/>
                <w:color w:val="000000"/>
                <w:sz w:val="22"/>
                <w:szCs w:val="22"/>
              </w:rPr>
            </w:pPr>
            <w:r>
              <w:rPr>
                <w:rFonts w:eastAsia="仿宋"/>
                <w:color w:val="000000"/>
                <w:kern w:val="0"/>
                <w:sz w:val="22"/>
                <w:szCs w:val="22"/>
              </w:rPr>
              <w:t>三、发展绿色交通，推进洁净运输</w:t>
            </w:r>
          </w:p>
        </w:tc>
      </w:tr>
      <w:tr>
        <w:tblPrEx>
          <w:tblCellMar>
            <w:top w:w="15" w:type="dxa"/>
            <w:left w:w="15" w:type="dxa"/>
            <w:bottom w:w="15" w:type="dxa"/>
            <w:right w:w="15" w:type="dxa"/>
          </w:tblCellMar>
        </w:tblPrEx>
        <w:trPr>
          <w:trHeight w:val="108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27</w:t>
            </w:r>
          </w:p>
        </w:tc>
        <w:tc>
          <w:tcPr>
            <w:tcW w:w="157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加快车船结构升级</w:t>
            </w:r>
          </w:p>
        </w:tc>
        <w:tc>
          <w:tcPr>
            <w:tcW w:w="53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sz w:val="22"/>
                <w:szCs w:val="22"/>
              </w:rPr>
            </w:pPr>
            <w:r>
              <w:rPr>
                <w:rFonts w:hint="eastAsia" w:ascii="仿宋_GB2312"/>
                <w:sz w:val="22"/>
                <w:szCs w:val="22"/>
              </w:rPr>
              <w:t>推广使用新能源汽车。加快推进城市建成区新增和更新的公交、环卫、邮政、出租、通勤、轻型物流配送车辆使用新能源或清洁能源汽车。</w:t>
            </w:r>
          </w:p>
        </w:tc>
        <w:tc>
          <w:tcPr>
            <w:tcW w:w="3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eastAsia="仿宋"/>
                <w:color w:val="000000"/>
                <w:kern w:val="0"/>
                <w:sz w:val="22"/>
                <w:szCs w:val="22"/>
              </w:rPr>
              <w:t>区发改局</w:t>
            </w:r>
          </w:p>
        </w:tc>
        <w:tc>
          <w:tcPr>
            <w:tcW w:w="37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eastAsia="仿宋"/>
                <w:color w:val="000000"/>
                <w:kern w:val="0"/>
                <w:sz w:val="22"/>
                <w:szCs w:val="22"/>
              </w:rPr>
              <w:t>区财政局、</w:t>
            </w:r>
            <w:r>
              <w:rPr>
                <w:rFonts w:eastAsia="仿宋"/>
                <w:color w:val="000000" w:themeColor="text1"/>
                <w:kern w:val="0"/>
                <w:sz w:val="22"/>
                <w:szCs w:val="22"/>
              </w:rPr>
              <w:t>区综合执法局、</w:t>
            </w:r>
            <w:r>
              <w:rPr>
                <w:rFonts w:hint="eastAsia" w:eastAsia="仿宋"/>
                <w:color w:val="000000"/>
                <w:kern w:val="0"/>
                <w:sz w:val="22"/>
                <w:szCs w:val="22"/>
              </w:rPr>
              <w:t>邮政鹿城分局</w:t>
            </w:r>
            <w:r>
              <w:rPr>
                <w:rFonts w:eastAsia="仿宋"/>
                <w:color w:val="000000"/>
                <w:kern w:val="0"/>
                <w:sz w:val="22"/>
                <w:szCs w:val="22"/>
              </w:rPr>
              <w:t>、</w:t>
            </w:r>
            <w:r>
              <w:rPr>
                <w:rFonts w:eastAsia="仿宋"/>
                <w:color w:val="000000" w:themeColor="text1"/>
                <w:kern w:val="0"/>
                <w:sz w:val="22"/>
                <w:szCs w:val="22"/>
              </w:rPr>
              <w:t>市运管稽查一大队</w:t>
            </w:r>
          </w:p>
        </w:tc>
      </w:tr>
      <w:tr>
        <w:tblPrEx>
          <w:tblCellMar>
            <w:top w:w="15" w:type="dxa"/>
            <w:left w:w="15" w:type="dxa"/>
            <w:bottom w:w="15" w:type="dxa"/>
            <w:right w:w="15" w:type="dxa"/>
          </w:tblCellMar>
        </w:tblPrEx>
        <w:trPr>
          <w:trHeight w:val="426"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28</w:t>
            </w:r>
          </w:p>
        </w:tc>
        <w:tc>
          <w:tcPr>
            <w:tcW w:w="15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p>
        </w:tc>
        <w:tc>
          <w:tcPr>
            <w:tcW w:w="53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sz w:val="22"/>
                <w:szCs w:val="22"/>
              </w:rPr>
            </w:pPr>
            <w:r>
              <w:rPr>
                <w:rFonts w:hint="eastAsia" w:ascii="仿宋_GB2312"/>
                <w:sz w:val="22"/>
                <w:szCs w:val="22"/>
              </w:rPr>
              <w:t>在物流园、产业园、工业园、大型商业购物中心、农贸批发市场等物流集散地建设集中式充电桩和快速充电桩。到2020年，完成市里下达的充电（加气）站、充电桩建设任务。</w:t>
            </w:r>
          </w:p>
        </w:tc>
        <w:tc>
          <w:tcPr>
            <w:tcW w:w="3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eastAsia="仿宋"/>
                <w:color w:val="000000"/>
                <w:kern w:val="0"/>
                <w:sz w:val="22"/>
                <w:szCs w:val="22"/>
              </w:rPr>
              <w:t>区发改局</w:t>
            </w:r>
          </w:p>
        </w:tc>
        <w:tc>
          <w:tcPr>
            <w:tcW w:w="37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eastAsia="仿宋"/>
                <w:color w:val="000000"/>
                <w:kern w:val="0"/>
                <w:sz w:val="22"/>
                <w:szCs w:val="22"/>
              </w:rPr>
              <w:t>区住建局、区交通运输局、区综合行政执法局、</w:t>
            </w:r>
            <w:r>
              <w:rPr>
                <w:rFonts w:hint="eastAsia" w:eastAsia="仿宋"/>
                <w:color w:val="000000"/>
                <w:kern w:val="0"/>
                <w:sz w:val="22"/>
                <w:szCs w:val="22"/>
              </w:rPr>
              <w:t>市自然资源和规划局鹿城分局、鹿城供电分局</w:t>
            </w:r>
          </w:p>
        </w:tc>
      </w:tr>
      <w:tr>
        <w:tblPrEx>
          <w:tblCellMar>
            <w:top w:w="15" w:type="dxa"/>
            <w:left w:w="15" w:type="dxa"/>
            <w:bottom w:w="15" w:type="dxa"/>
            <w:right w:w="15" w:type="dxa"/>
          </w:tblCellMar>
        </w:tblPrEx>
        <w:trPr>
          <w:trHeight w:val="50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29</w:t>
            </w:r>
          </w:p>
        </w:tc>
        <w:tc>
          <w:tcPr>
            <w:tcW w:w="15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p>
        </w:tc>
        <w:tc>
          <w:tcPr>
            <w:tcW w:w="53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sz w:val="22"/>
                <w:szCs w:val="22"/>
              </w:rPr>
            </w:pPr>
            <w:r>
              <w:rPr>
                <w:rFonts w:hint="eastAsia" w:ascii="仿宋_GB2312"/>
                <w:sz w:val="22"/>
                <w:szCs w:val="22"/>
              </w:rPr>
              <w:t>大力推进国三及以下排放标准营运柴油货车提前淘汰更新，加快淘汰采用稀薄燃烧技术和“油改气”的老旧燃气车辆。制定营运柴油货车和燃气车辆提前淘汰更新目标。</w:t>
            </w:r>
          </w:p>
        </w:tc>
        <w:tc>
          <w:tcPr>
            <w:tcW w:w="3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eastAsia="仿宋"/>
                <w:color w:val="000000"/>
                <w:kern w:val="0"/>
                <w:sz w:val="22"/>
                <w:szCs w:val="22"/>
              </w:rPr>
              <w:t>市交警支队一、二大队</w:t>
            </w:r>
          </w:p>
        </w:tc>
        <w:tc>
          <w:tcPr>
            <w:tcW w:w="37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eastAsia="仿宋"/>
                <w:color w:val="000000"/>
                <w:kern w:val="0"/>
                <w:sz w:val="22"/>
                <w:szCs w:val="22"/>
              </w:rPr>
              <w:t>区公安分局、区财政局、区商务局、</w:t>
            </w:r>
            <w:r>
              <w:rPr>
                <w:rFonts w:hint="eastAsia" w:eastAsia="仿宋"/>
                <w:color w:val="000000"/>
                <w:kern w:val="0"/>
                <w:sz w:val="22"/>
                <w:szCs w:val="22"/>
              </w:rPr>
              <w:t>市生态环境局鹿城分局</w:t>
            </w:r>
          </w:p>
        </w:tc>
      </w:tr>
      <w:tr>
        <w:tblPrEx>
          <w:tblCellMar>
            <w:top w:w="15" w:type="dxa"/>
            <w:left w:w="15" w:type="dxa"/>
            <w:bottom w:w="15" w:type="dxa"/>
            <w:right w:w="15"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30</w:t>
            </w:r>
          </w:p>
        </w:tc>
        <w:tc>
          <w:tcPr>
            <w:tcW w:w="15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p>
        </w:tc>
        <w:tc>
          <w:tcPr>
            <w:tcW w:w="53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sz w:val="22"/>
                <w:szCs w:val="22"/>
              </w:rPr>
            </w:pPr>
            <w:r>
              <w:rPr>
                <w:rFonts w:hint="eastAsia" w:ascii="仿宋_GB2312"/>
                <w:sz w:val="22"/>
                <w:szCs w:val="22"/>
              </w:rPr>
              <w:t>2019年7月1日起，全区实施国六排放标准。推广使用达到国六排放标准的燃气车辆。</w:t>
            </w:r>
          </w:p>
        </w:tc>
        <w:tc>
          <w:tcPr>
            <w:tcW w:w="3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hint="eastAsia" w:eastAsia="仿宋"/>
                <w:color w:val="000000"/>
                <w:kern w:val="0"/>
                <w:sz w:val="22"/>
                <w:szCs w:val="22"/>
              </w:rPr>
              <w:t>市生态环境局鹿城分局</w:t>
            </w:r>
            <w:r>
              <w:rPr>
                <w:rFonts w:eastAsia="仿宋"/>
                <w:color w:val="000000"/>
                <w:kern w:val="0"/>
                <w:sz w:val="22"/>
                <w:szCs w:val="22"/>
              </w:rPr>
              <w:t>、区</w:t>
            </w:r>
            <w:r>
              <w:rPr>
                <w:rFonts w:hint="eastAsia" w:eastAsia="仿宋"/>
                <w:color w:val="000000"/>
                <w:kern w:val="0"/>
                <w:sz w:val="22"/>
                <w:szCs w:val="22"/>
              </w:rPr>
              <w:t>发改</w:t>
            </w:r>
            <w:r>
              <w:rPr>
                <w:rFonts w:eastAsia="仿宋"/>
                <w:color w:val="000000"/>
                <w:kern w:val="0"/>
                <w:sz w:val="22"/>
                <w:szCs w:val="22"/>
              </w:rPr>
              <w:t>局</w:t>
            </w:r>
          </w:p>
        </w:tc>
        <w:tc>
          <w:tcPr>
            <w:tcW w:w="37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eastAsia="仿宋"/>
                <w:color w:val="000000"/>
                <w:kern w:val="0"/>
                <w:sz w:val="22"/>
                <w:szCs w:val="22"/>
              </w:rPr>
              <w:t>区公安分局</w:t>
            </w:r>
          </w:p>
        </w:tc>
      </w:tr>
      <w:tr>
        <w:tblPrEx>
          <w:tblCellMar>
            <w:top w:w="15" w:type="dxa"/>
            <w:left w:w="15" w:type="dxa"/>
            <w:bottom w:w="15" w:type="dxa"/>
            <w:right w:w="15"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31</w:t>
            </w:r>
          </w:p>
        </w:tc>
        <w:tc>
          <w:tcPr>
            <w:tcW w:w="15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p>
        </w:tc>
        <w:tc>
          <w:tcPr>
            <w:tcW w:w="53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sz w:val="22"/>
                <w:szCs w:val="22"/>
              </w:rPr>
            </w:pPr>
            <w:r>
              <w:rPr>
                <w:rFonts w:hint="eastAsia" w:ascii="仿宋_GB2312"/>
                <w:sz w:val="22"/>
                <w:szCs w:val="22"/>
              </w:rPr>
              <w:t>推进船舶更新升级。2018年7月1日起，全面实施新生产船舶发动机第一阶段排放标准。</w:t>
            </w:r>
          </w:p>
        </w:tc>
        <w:tc>
          <w:tcPr>
            <w:tcW w:w="3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eastAsia="仿宋"/>
                <w:color w:val="000000"/>
                <w:kern w:val="0"/>
                <w:sz w:val="22"/>
                <w:szCs w:val="22"/>
              </w:rPr>
              <w:t>温州瓯江海事处</w:t>
            </w:r>
          </w:p>
        </w:tc>
        <w:tc>
          <w:tcPr>
            <w:tcW w:w="37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eastAsia="仿宋"/>
                <w:color w:val="000000"/>
                <w:kern w:val="0"/>
                <w:sz w:val="22"/>
                <w:szCs w:val="22"/>
              </w:rPr>
              <w:t>区</w:t>
            </w:r>
            <w:r>
              <w:rPr>
                <w:rFonts w:hint="eastAsia" w:eastAsia="仿宋"/>
                <w:color w:val="000000"/>
                <w:kern w:val="0"/>
                <w:sz w:val="22"/>
                <w:szCs w:val="22"/>
              </w:rPr>
              <w:t>经信</w:t>
            </w:r>
            <w:r>
              <w:rPr>
                <w:rFonts w:eastAsia="仿宋"/>
                <w:color w:val="000000"/>
                <w:kern w:val="0"/>
                <w:sz w:val="22"/>
                <w:szCs w:val="22"/>
              </w:rPr>
              <w:t>局、</w:t>
            </w:r>
            <w:r>
              <w:rPr>
                <w:rFonts w:hint="eastAsia" w:eastAsia="仿宋"/>
                <w:color w:val="000000" w:themeColor="text1"/>
                <w:kern w:val="0"/>
                <w:sz w:val="22"/>
                <w:szCs w:val="22"/>
              </w:rPr>
              <w:t>区交通运输局</w:t>
            </w:r>
            <w:r>
              <w:rPr>
                <w:rFonts w:eastAsia="仿宋"/>
                <w:color w:val="000000" w:themeColor="text1"/>
                <w:kern w:val="0"/>
                <w:sz w:val="22"/>
                <w:szCs w:val="22"/>
              </w:rPr>
              <w:t>、</w:t>
            </w:r>
            <w:r>
              <w:rPr>
                <w:rFonts w:hint="eastAsia" w:eastAsia="仿宋"/>
                <w:color w:val="000000" w:themeColor="text1"/>
                <w:kern w:val="0"/>
                <w:sz w:val="22"/>
                <w:szCs w:val="22"/>
              </w:rPr>
              <w:t>区农业农村局、</w:t>
            </w:r>
            <w:r>
              <w:rPr>
                <w:rFonts w:eastAsia="仿宋"/>
                <w:color w:val="000000"/>
                <w:kern w:val="0"/>
                <w:sz w:val="22"/>
                <w:szCs w:val="22"/>
              </w:rPr>
              <w:t>温州瓯江海事处、</w:t>
            </w:r>
            <w:r>
              <w:rPr>
                <w:rFonts w:eastAsia="仿宋"/>
                <w:color w:val="000000" w:themeColor="text1"/>
                <w:kern w:val="0"/>
                <w:sz w:val="22"/>
                <w:szCs w:val="22"/>
              </w:rPr>
              <w:t>市港航执法一大队</w:t>
            </w:r>
          </w:p>
        </w:tc>
      </w:tr>
      <w:tr>
        <w:tblPrEx>
          <w:tblCellMar>
            <w:top w:w="15" w:type="dxa"/>
            <w:left w:w="15" w:type="dxa"/>
            <w:bottom w:w="15" w:type="dxa"/>
            <w:right w:w="15" w:type="dxa"/>
          </w:tblCellMar>
        </w:tblPrEx>
        <w:trPr>
          <w:trHeight w:val="286"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32</w:t>
            </w:r>
          </w:p>
        </w:tc>
        <w:tc>
          <w:tcPr>
            <w:tcW w:w="15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p>
        </w:tc>
        <w:tc>
          <w:tcPr>
            <w:tcW w:w="53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sz w:val="22"/>
                <w:szCs w:val="22"/>
              </w:rPr>
            </w:pPr>
            <w:r>
              <w:rPr>
                <w:rFonts w:hint="eastAsia" w:ascii="仿宋_GB2312"/>
                <w:sz w:val="22"/>
                <w:szCs w:val="22"/>
              </w:rPr>
              <w:t>推广使用电、天然气等新能源或清洁能源船舶，推进沿岸配套能源供给站建设。</w:t>
            </w:r>
          </w:p>
        </w:tc>
        <w:tc>
          <w:tcPr>
            <w:tcW w:w="3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eastAsia="仿宋"/>
                <w:color w:val="000000"/>
                <w:kern w:val="0"/>
                <w:sz w:val="22"/>
                <w:szCs w:val="22"/>
              </w:rPr>
              <w:t>温州瓯江海事处</w:t>
            </w:r>
          </w:p>
        </w:tc>
        <w:tc>
          <w:tcPr>
            <w:tcW w:w="37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eastAsia="仿宋"/>
                <w:color w:val="000000"/>
                <w:kern w:val="0"/>
                <w:sz w:val="22"/>
                <w:szCs w:val="22"/>
              </w:rPr>
              <w:t>区发改局、区财政局</w:t>
            </w:r>
          </w:p>
        </w:tc>
      </w:tr>
      <w:tr>
        <w:tblPrEx>
          <w:tblCellMar>
            <w:top w:w="15" w:type="dxa"/>
            <w:left w:w="15" w:type="dxa"/>
            <w:bottom w:w="15" w:type="dxa"/>
            <w:right w:w="15"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33</w:t>
            </w:r>
          </w:p>
        </w:tc>
        <w:tc>
          <w:tcPr>
            <w:tcW w:w="15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p>
        </w:tc>
        <w:tc>
          <w:tcPr>
            <w:tcW w:w="53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sz w:val="22"/>
                <w:szCs w:val="22"/>
              </w:rPr>
            </w:pPr>
            <w:r>
              <w:rPr>
                <w:rFonts w:hint="eastAsia" w:ascii="仿宋_GB2312"/>
                <w:sz w:val="22"/>
                <w:szCs w:val="22"/>
              </w:rPr>
              <w:t>内河应采取禁限行等措施，限制高排放船舶使用，鼓励淘汰使用20年以上的内河航运船舶，并制定相应经济补偿方案同步推进实施。</w:t>
            </w:r>
          </w:p>
        </w:tc>
        <w:tc>
          <w:tcPr>
            <w:tcW w:w="3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eastAsia="仿宋"/>
                <w:color w:val="000000"/>
                <w:kern w:val="0"/>
                <w:sz w:val="22"/>
                <w:szCs w:val="22"/>
              </w:rPr>
              <w:t>温州瓯江海事处</w:t>
            </w:r>
          </w:p>
        </w:tc>
        <w:tc>
          <w:tcPr>
            <w:tcW w:w="37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eastAsia="仿宋"/>
                <w:color w:val="000000"/>
                <w:kern w:val="0"/>
                <w:sz w:val="22"/>
                <w:szCs w:val="22"/>
              </w:rPr>
              <w:t>区财政局、</w:t>
            </w:r>
            <w:r>
              <w:rPr>
                <w:rFonts w:hint="eastAsia" w:eastAsia="仿宋"/>
                <w:color w:val="000000" w:themeColor="text1"/>
                <w:kern w:val="0"/>
                <w:sz w:val="22"/>
                <w:szCs w:val="22"/>
              </w:rPr>
              <w:t>区农业农村局</w:t>
            </w:r>
            <w:r>
              <w:rPr>
                <w:rFonts w:eastAsia="仿宋"/>
                <w:color w:val="000000" w:themeColor="text1"/>
                <w:kern w:val="0"/>
                <w:sz w:val="22"/>
                <w:szCs w:val="22"/>
              </w:rPr>
              <w:t>、市港航执法一大队</w:t>
            </w:r>
          </w:p>
        </w:tc>
      </w:tr>
      <w:tr>
        <w:tblPrEx>
          <w:tblCellMar>
            <w:top w:w="15" w:type="dxa"/>
            <w:left w:w="15" w:type="dxa"/>
            <w:bottom w:w="15" w:type="dxa"/>
            <w:right w:w="15" w:type="dxa"/>
          </w:tblCellMar>
        </w:tblPrEx>
        <w:trPr>
          <w:trHeight w:val="81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34</w:t>
            </w:r>
          </w:p>
        </w:tc>
        <w:tc>
          <w:tcPr>
            <w:tcW w:w="157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sz w:val="22"/>
                <w:szCs w:val="22"/>
              </w:rPr>
            </w:pPr>
            <w:r>
              <w:rPr>
                <w:rFonts w:hint="eastAsia" w:ascii="仿宋_GB2312"/>
                <w:sz w:val="22"/>
                <w:szCs w:val="22"/>
              </w:rPr>
              <w:t>加强移动源污染排放控制</w:t>
            </w:r>
          </w:p>
        </w:tc>
        <w:tc>
          <w:tcPr>
            <w:tcW w:w="53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sz w:val="22"/>
                <w:szCs w:val="22"/>
              </w:rPr>
            </w:pPr>
            <w:r>
              <w:rPr>
                <w:rFonts w:hint="eastAsia" w:ascii="仿宋_GB2312"/>
                <w:sz w:val="22"/>
                <w:szCs w:val="22"/>
              </w:rPr>
              <w:t>协助做好新车环保装置检验。构建机动车超标排放信息数据库。推进老旧柴油车深度治理。</w:t>
            </w:r>
          </w:p>
        </w:tc>
        <w:tc>
          <w:tcPr>
            <w:tcW w:w="3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hint="eastAsia" w:eastAsia="仿宋"/>
                <w:color w:val="000000"/>
                <w:kern w:val="0"/>
                <w:sz w:val="22"/>
                <w:szCs w:val="22"/>
              </w:rPr>
              <w:t>市生态环境局鹿城分局</w:t>
            </w:r>
            <w:r>
              <w:rPr>
                <w:rFonts w:eastAsia="仿宋"/>
                <w:color w:val="000000"/>
                <w:kern w:val="0"/>
                <w:sz w:val="22"/>
                <w:szCs w:val="22"/>
              </w:rPr>
              <w:t>、市交警支队一、二大队</w:t>
            </w:r>
          </w:p>
        </w:tc>
        <w:tc>
          <w:tcPr>
            <w:tcW w:w="37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hint="eastAsia" w:eastAsia="仿宋"/>
                <w:color w:val="000000"/>
                <w:kern w:val="0"/>
                <w:sz w:val="22"/>
                <w:szCs w:val="22"/>
              </w:rPr>
              <w:t>区市场监管局</w:t>
            </w:r>
          </w:p>
        </w:tc>
      </w:tr>
      <w:tr>
        <w:tblPrEx>
          <w:tblCellMar>
            <w:top w:w="15" w:type="dxa"/>
            <w:left w:w="15" w:type="dxa"/>
            <w:bottom w:w="15" w:type="dxa"/>
            <w:right w:w="15" w:type="dxa"/>
          </w:tblCellMar>
        </w:tblPrEx>
        <w:trPr>
          <w:trHeight w:val="108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35</w:t>
            </w:r>
          </w:p>
        </w:tc>
        <w:tc>
          <w:tcPr>
            <w:tcW w:w="15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sz w:val="22"/>
                <w:szCs w:val="22"/>
              </w:rPr>
            </w:pPr>
          </w:p>
        </w:tc>
        <w:tc>
          <w:tcPr>
            <w:tcW w:w="53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sz w:val="22"/>
                <w:szCs w:val="22"/>
              </w:rPr>
            </w:pPr>
            <w:r>
              <w:rPr>
                <w:rFonts w:hint="eastAsia" w:ascii="仿宋_GB2312"/>
                <w:sz w:val="22"/>
                <w:szCs w:val="22"/>
              </w:rPr>
              <w:t>2019年底前，完成非道路移动机械摸底调查，划定非道路移动机械低排放控制区，严格管控高排放非道路移动机械。</w:t>
            </w:r>
          </w:p>
        </w:tc>
        <w:tc>
          <w:tcPr>
            <w:tcW w:w="3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eastAsia="仿宋"/>
                <w:color w:val="000000"/>
                <w:kern w:val="0"/>
                <w:sz w:val="22"/>
                <w:szCs w:val="22"/>
              </w:rPr>
              <w:t>区住建局、区综合行政执法局、</w:t>
            </w:r>
            <w:r>
              <w:rPr>
                <w:rFonts w:hint="eastAsia" w:eastAsia="仿宋"/>
                <w:color w:val="000000"/>
                <w:kern w:val="0"/>
                <w:sz w:val="22"/>
                <w:szCs w:val="22"/>
              </w:rPr>
              <w:t>区农业农村局</w:t>
            </w:r>
            <w:r>
              <w:rPr>
                <w:rFonts w:eastAsia="仿宋"/>
                <w:color w:val="000000"/>
                <w:kern w:val="0"/>
                <w:sz w:val="22"/>
                <w:szCs w:val="22"/>
              </w:rPr>
              <w:t>、</w:t>
            </w:r>
            <w:r>
              <w:rPr>
                <w:rFonts w:hint="eastAsia" w:eastAsia="仿宋"/>
                <w:color w:val="000000"/>
                <w:kern w:val="0"/>
                <w:sz w:val="22"/>
                <w:szCs w:val="22"/>
              </w:rPr>
              <w:t>区市场监管局</w:t>
            </w:r>
            <w:r>
              <w:rPr>
                <w:rFonts w:eastAsia="仿宋"/>
                <w:color w:val="000000"/>
                <w:kern w:val="0"/>
                <w:sz w:val="22"/>
                <w:szCs w:val="22"/>
              </w:rPr>
              <w:t>、</w:t>
            </w:r>
            <w:r>
              <w:rPr>
                <w:rFonts w:hint="eastAsia" w:eastAsia="仿宋"/>
                <w:color w:val="000000"/>
                <w:kern w:val="0"/>
                <w:sz w:val="22"/>
                <w:szCs w:val="22"/>
              </w:rPr>
              <w:t>市生态环境局鹿城分局</w:t>
            </w:r>
            <w:r>
              <w:rPr>
                <w:rFonts w:eastAsia="仿宋"/>
                <w:color w:val="000000"/>
                <w:kern w:val="0"/>
                <w:sz w:val="22"/>
                <w:szCs w:val="22"/>
              </w:rPr>
              <w:t>、区交通运输局</w:t>
            </w:r>
          </w:p>
        </w:tc>
        <w:tc>
          <w:tcPr>
            <w:tcW w:w="3719"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color w:val="000000"/>
                <w:sz w:val="22"/>
                <w:szCs w:val="22"/>
              </w:rPr>
            </w:pPr>
            <w:r>
              <w:rPr>
                <w:rFonts w:eastAsia="仿宋"/>
                <w:color w:val="000000"/>
                <w:sz w:val="22"/>
                <w:szCs w:val="22"/>
              </w:rPr>
              <w:t>市运管稽查一大队</w:t>
            </w:r>
            <w:r>
              <w:rPr>
                <w:rFonts w:hint="eastAsia" w:eastAsia="仿宋"/>
                <w:color w:val="000000"/>
                <w:sz w:val="22"/>
                <w:szCs w:val="22"/>
              </w:rPr>
              <w:t>、</w:t>
            </w:r>
            <w:r>
              <w:rPr>
                <w:rFonts w:eastAsia="仿宋"/>
                <w:color w:val="000000"/>
                <w:sz w:val="22"/>
                <w:szCs w:val="22"/>
              </w:rPr>
              <w:t>市港航执法一大队</w:t>
            </w:r>
          </w:p>
        </w:tc>
      </w:tr>
      <w:tr>
        <w:tblPrEx>
          <w:tblCellMar>
            <w:top w:w="15" w:type="dxa"/>
            <w:left w:w="15" w:type="dxa"/>
            <w:bottom w:w="15" w:type="dxa"/>
            <w:right w:w="15" w:type="dxa"/>
          </w:tblCellMar>
        </w:tblPrEx>
        <w:trPr>
          <w:trHeight w:val="81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36</w:t>
            </w:r>
          </w:p>
        </w:tc>
        <w:tc>
          <w:tcPr>
            <w:tcW w:w="15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sz w:val="22"/>
                <w:szCs w:val="22"/>
              </w:rPr>
            </w:pPr>
          </w:p>
        </w:tc>
        <w:tc>
          <w:tcPr>
            <w:tcW w:w="53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sz w:val="22"/>
                <w:szCs w:val="22"/>
              </w:rPr>
            </w:pPr>
            <w:r>
              <w:rPr>
                <w:rFonts w:hint="eastAsia" w:ascii="仿宋_GB2312"/>
                <w:sz w:val="22"/>
                <w:szCs w:val="22"/>
              </w:rPr>
              <w:t>推进排放不达标工程机械、港作机械清洁化改造和淘汰，推进高耗能农业机械报废和淘汰，港口新增和更换的作业机械主要采用清洁能源或新能源。</w:t>
            </w:r>
          </w:p>
        </w:tc>
        <w:tc>
          <w:tcPr>
            <w:tcW w:w="3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eastAsia="仿宋"/>
                <w:color w:val="000000"/>
                <w:kern w:val="0"/>
                <w:sz w:val="22"/>
                <w:szCs w:val="22"/>
              </w:rPr>
              <w:t>区住建局、区综合行政执法局、</w:t>
            </w:r>
            <w:r>
              <w:rPr>
                <w:rFonts w:hint="eastAsia" w:eastAsia="仿宋"/>
                <w:color w:val="000000"/>
                <w:kern w:val="0"/>
                <w:sz w:val="22"/>
                <w:szCs w:val="22"/>
              </w:rPr>
              <w:t>区农业农村局</w:t>
            </w:r>
            <w:r>
              <w:rPr>
                <w:rFonts w:eastAsia="仿宋"/>
                <w:color w:val="000000"/>
                <w:kern w:val="0"/>
                <w:sz w:val="22"/>
                <w:szCs w:val="22"/>
              </w:rPr>
              <w:t>、区交通运输局、</w:t>
            </w:r>
            <w:r>
              <w:rPr>
                <w:rFonts w:hint="eastAsia" w:eastAsia="仿宋"/>
                <w:color w:val="000000"/>
                <w:kern w:val="0"/>
                <w:sz w:val="22"/>
                <w:szCs w:val="22"/>
              </w:rPr>
              <w:t>区市场监管局</w:t>
            </w:r>
          </w:p>
        </w:tc>
        <w:tc>
          <w:tcPr>
            <w:tcW w:w="3719"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color w:val="000000"/>
                <w:sz w:val="22"/>
                <w:szCs w:val="22"/>
              </w:rPr>
            </w:pPr>
            <w:r>
              <w:rPr>
                <w:rFonts w:eastAsia="仿宋"/>
                <w:color w:val="000000"/>
                <w:sz w:val="22"/>
                <w:szCs w:val="22"/>
              </w:rPr>
              <w:t>市运管稽查一大队</w:t>
            </w:r>
            <w:r>
              <w:rPr>
                <w:rFonts w:hint="eastAsia" w:eastAsia="仿宋"/>
                <w:color w:val="000000"/>
                <w:sz w:val="22"/>
                <w:szCs w:val="22"/>
              </w:rPr>
              <w:t>、</w:t>
            </w:r>
            <w:r>
              <w:rPr>
                <w:rFonts w:eastAsia="仿宋"/>
                <w:color w:val="000000"/>
                <w:sz w:val="22"/>
                <w:szCs w:val="22"/>
              </w:rPr>
              <w:t>市港航执法一大队</w:t>
            </w:r>
          </w:p>
        </w:tc>
      </w:tr>
      <w:tr>
        <w:tblPrEx>
          <w:tblCellMar>
            <w:top w:w="15" w:type="dxa"/>
            <w:left w:w="15" w:type="dxa"/>
            <w:bottom w:w="15" w:type="dxa"/>
            <w:right w:w="15"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37</w:t>
            </w:r>
          </w:p>
        </w:tc>
        <w:tc>
          <w:tcPr>
            <w:tcW w:w="15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sz w:val="22"/>
                <w:szCs w:val="22"/>
              </w:rPr>
            </w:pPr>
          </w:p>
        </w:tc>
        <w:tc>
          <w:tcPr>
            <w:tcW w:w="53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sz w:val="22"/>
                <w:szCs w:val="22"/>
              </w:rPr>
            </w:pPr>
            <w:r>
              <w:rPr>
                <w:rFonts w:hint="eastAsia" w:ascii="仿宋_GB2312"/>
                <w:sz w:val="22"/>
                <w:szCs w:val="22"/>
              </w:rPr>
              <w:t>2019年底前，积极推进实施船舶排放控制区调整方案。推动内河船舶改造，继续推进内河船型标准化。</w:t>
            </w:r>
          </w:p>
        </w:tc>
        <w:tc>
          <w:tcPr>
            <w:tcW w:w="3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eastAsia="仿宋"/>
                <w:color w:val="000000"/>
                <w:kern w:val="0"/>
                <w:sz w:val="22"/>
                <w:szCs w:val="22"/>
              </w:rPr>
              <w:t>温州瓯江海事处</w:t>
            </w:r>
          </w:p>
        </w:tc>
        <w:tc>
          <w:tcPr>
            <w:tcW w:w="3719"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color w:val="000000"/>
                <w:sz w:val="22"/>
                <w:szCs w:val="22"/>
              </w:rPr>
            </w:pPr>
            <w:r>
              <w:rPr>
                <w:rFonts w:eastAsia="仿宋"/>
                <w:color w:val="000000" w:themeColor="text1"/>
                <w:kern w:val="0"/>
                <w:sz w:val="22"/>
                <w:szCs w:val="22"/>
              </w:rPr>
              <w:t>市港航执法一大队</w:t>
            </w:r>
          </w:p>
        </w:tc>
      </w:tr>
      <w:tr>
        <w:tblPrEx>
          <w:tblCellMar>
            <w:top w:w="15" w:type="dxa"/>
            <w:left w:w="15" w:type="dxa"/>
            <w:bottom w:w="15" w:type="dxa"/>
            <w:right w:w="15" w:type="dxa"/>
          </w:tblCellMar>
        </w:tblPrEx>
        <w:trPr>
          <w:trHeight w:val="1351"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38</w:t>
            </w:r>
          </w:p>
        </w:tc>
        <w:tc>
          <w:tcPr>
            <w:tcW w:w="15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sz w:val="22"/>
                <w:szCs w:val="22"/>
              </w:rPr>
            </w:pPr>
          </w:p>
        </w:tc>
        <w:tc>
          <w:tcPr>
            <w:tcW w:w="53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sz w:val="22"/>
                <w:szCs w:val="22"/>
              </w:rPr>
            </w:pPr>
            <w:r>
              <w:rPr>
                <w:rFonts w:hint="eastAsia" w:ascii="仿宋_GB2312"/>
                <w:sz w:val="22"/>
                <w:szCs w:val="22"/>
              </w:rPr>
              <w:t>推动靠港船舶使用岸电。2020年底前，主要港口90%的港作船舶、公务船舶靠泊使用岸电，沿海主要港口50%以上专业化泊位（危险货物泊位除外）、水上服务区和待闸锚地具备岸电供应能力，按照市下达的要求建设岸电桩。</w:t>
            </w:r>
          </w:p>
        </w:tc>
        <w:tc>
          <w:tcPr>
            <w:tcW w:w="3181"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
                <w:color w:val="000000"/>
                <w:sz w:val="22"/>
                <w:szCs w:val="22"/>
              </w:rPr>
            </w:pPr>
            <w:r>
              <w:rPr>
                <w:rFonts w:eastAsia="仿宋"/>
                <w:color w:val="000000"/>
                <w:kern w:val="0"/>
                <w:sz w:val="22"/>
                <w:szCs w:val="22"/>
              </w:rPr>
              <w:t>区交通运输局、</w:t>
            </w:r>
            <w:r>
              <w:rPr>
                <w:rFonts w:eastAsia="仿宋"/>
                <w:color w:val="000000" w:themeColor="text1"/>
                <w:kern w:val="0"/>
                <w:sz w:val="22"/>
                <w:szCs w:val="22"/>
              </w:rPr>
              <w:t>区发改局、市港航执法一大队</w:t>
            </w:r>
          </w:p>
        </w:tc>
        <w:tc>
          <w:tcPr>
            <w:tcW w:w="37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eastAsia="仿宋"/>
                <w:color w:val="000000"/>
                <w:kern w:val="0"/>
                <w:sz w:val="22"/>
                <w:szCs w:val="22"/>
              </w:rPr>
              <w:t>区财政局、</w:t>
            </w:r>
            <w:r>
              <w:rPr>
                <w:rFonts w:hint="eastAsia" w:eastAsia="仿宋"/>
                <w:color w:val="000000"/>
                <w:kern w:val="0"/>
                <w:sz w:val="22"/>
                <w:szCs w:val="22"/>
              </w:rPr>
              <w:t>市生态环境局鹿城分局</w:t>
            </w:r>
            <w:r>
              <w:rPr>
                <w:rFonts w:eastAsia="仿宋"/>
                <w:color w:val="000000"/>
                <w:kern w:val="0"/>
                <w:sz w:val="22"/>
                <w:szCs w:val="22"/>
              </w:rPr>
              <w:t>、</w:t>
            </w:r>
            <w:r>
              <w:rPr>
                <w:rFonts w:hint="eastAsia" w:eastAsia="仿宋"/>
                <w:color w:val="000000"/>
                <w:kern w:val="0"/>
                <w:sz w:val="22"/>
                <w:szCs w:val="22"/>
              </w:rPr>
              <w:t>鹿城供电分局</w:t>
            </w:r>
          </w:p>
        </w:tc>
      </w:tr>
      <w:tr>
        <w:tblPrEx>
          <w:tblCellMar>
            <w:top w:w="15" w:type="dxa"/>
            <w:left w:w="15" w:type="dxa"/>
            <w:bottom w:w="15" w:type="dxa"/>
            <w:right w:w="15" w:type="dxa"/>
          </w:tblCellMar>
        </w:tblPrEx>
        <w:trPr>
          <w:trHeight w:val="286" w:hRule="atLeast"/>
        </w:trPr>
        <w:tc>
          <w:tcPr>
            <w:tcW w:w="14880"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仿宋"/>
                <w:color w:val="000000"/>
                <w:sz w:val="22"/>
                <w:szCs w:val="22"/>
              </w:rPr>
            </w:pPr>
            <w:r>
              <w:rPr>
                <w:rFonts w:eastAsia="仿宋"/>
                <w:color w:val="000000"/>
                <w:kern w:val="0"/>
                <w:sz w:val="22"/>
                <w:szCs w:val="22"/>
              </w:rPr>
              <w:t>四、强化烟尘治理，推进面源防治</w:t>
            </w:r>
          </w:p>
        </w:tc>
      </w:tr>
      <w:tr>
        <w:tblPrEx>
          <w:tblCellMar>
            <w:top w:w="15" w:type="dxa"/>
            <w:left w:w="15" w:type="dxa"/>
            <w:bottom w:w="15" w:type="dxa"/>
            <w:right w:w="15"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39</w:t>
            </w:r>
          </w:p>
        </w:tc>
        <w:tc>
          <w:tcPr>
            <w:tcW w:w="157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eastAsia="仿宋"/>
                <w:color w:val="000000"/>
                <w:kern w:val="0"/>
                <w:sz w:val="22"/>
                <w:szCs w:val="22"/>
              </w:rPr>
              <w:t>推进露天矿山综合整治和绿化工程</w:t>
            </w:r>
          </w:p>
        </w:tc>
        <w:tc>
          <w:tcPr>
            <w:tcW w:w="53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仿宋"/>
                <w:color w:val="000000"/>
                <w:sz w:val="22"/>
                <w:szCs w:val="22"/>
              </w:rPr>
            </w:pPr>
            <w:r>
              <w:rPr>
                <w:rFonts w:eastAsia="仿宋"/>
                <w:color w:val="000000"/>
                <w:kern w:val="0"/>
                <w:sz w:val="22"/>
                <w:szCs w:val="22"/>
              </w:rPr>
              <w:t>全面完成露天矿山摸底排查。原则上禁止新建露天矿山建设项目。</w:t>
            </w:r>
          </w:p>
        </w:tc>
        <w:tc>
          <w:tcPr>
            <w:tcW w:w="3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hint="eastAsia" w:eastAsia="仿宋"/>
                <w:color w:val="000000"/>
                <w:kern w:val="0"/>
                <w:sz w:val="22"/>
                <w:szCs w:val="22"/>
              </w:rPr>
              <w:t>市自然资源和规划局鹿城分局</w:t>
            </w:r>
          </w:p>
        </w:tc>
        <w:tc>
          <w:tcPr>
            <w:tcW w:w="37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eastAsia="仿宋"/>
                <w:color w:val="000000"/>
                <w:kern w:val="0"/>
                <w:sz w:val="22"/>
                <w:szCs w:val="22"/>
              </w:rPr>
              <w:t>区住建局、</w:t>
            </w:r>
            <w:r>
              <w:rPr>
                <w:rFonts w:hint="eastAsia" w:eastAsia="仿宋"/>
                <w:color w:val="000000"/>
                <w:kern w:val="0"/>
                <w:sz w:val="22"/>
                <w:szCs w:val="22"/>
              </w:rPr>
              <w:t>市生态环境局鹿城分局</w:t>
            </w:r>
          </w:p>
        </w:tc>
      </w:tr>
      <w:tr>
        <w:tblPrEx>
          <w:tblCellMar>
            <w:top w:w="15" w:type="dxa"/>
            <w:left w:w="15" w:type="dxa"/>
            <w:bottom w:w="15" w:type="dxa"/>
            <w:right w:w="15"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40</w:t>
            </w:r>
          </w:p>
        </w:tc>
        <w:tc>
          <w:tcPr>
            <w:tcW w:w="15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仿宋"/>
                <w:color w:val="000000"/>
                <w:sz w:val="22"/>
                <w:szCs w:val="22"/>
              </w:rPr>
            </w:pPr>
          </w:p>
        </w:tc>
        <w:tc>
          <w:tcPr>
            <w:tcW w:w="53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仿宋"/>
                <w:color w:val="000000"/>
                <w:sz w:val="22"/>
                <w:szCs w:val="22"/>
              </w:rPr>
            </w:pPr>
            <w:r>
              <w:rPr>
                <w:rFonts w:eastAsia="仿宋"/>
                <w:color w:val="000000"/>
                <w:kern w:val="0"/>
                <w:sz w:val="22"/>
                <w:szCs w:val="22"/>
              </w:rPr>
              <w:t>推广保护性耕作、林间覆盖等方式，抑制季节性裸地农田扬尘。</w:t>
            </w:r>
          </w:p>
        </w:tc>
        <w:tc>
          <w:tcPr>
            <w:tcW w:w="3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hint="eastAsia" w:eastAsia="仿宋"/>
                <w:color w:val="000000"/>
                <w:kern w:val="0"/>
                <w:sz w:val="22"/>
                <w:szCs w:val="22"/>
              </w:rPr>
              <w:t>区农业农村局</w:t>
            </w:r>
          </w:p>
        </w:tc>
        <w:tc>
          <w:tcPr>
            <w:tcW w:w="37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hint="eastAsia" w:eastAsia="仿宋"/>
                <w:color w:val="000000"/>
                <w:kern w:val="0"/>
                <w:sz w:val="22"/>
                <w:szCs w:val="22"/>
              </w:rPr>
              <w:t>市自然资源和规划局鹿城分局</w:t>
            </w:r>
          </w:p>
        </w:tc>
      </w:tr>
      <w:tr>
        <w:tblPrEx>
          <w:tblCellMar>
            <w:top w:w="15" w:type="dxa"/>
            <w:left w:w="15" w:type="dxa"/>
            <w:bottom w:w="15" w:type="dxa"/>
            <w:right w:w="15" w:type="dxa"/>
          </w:tblCellMar>
        </w:tblPrEx>
        <w:trPr>
          <w:trHeight w:val="81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41</w:t>
            </w:r>
          </w:p>
        </w:tc>
        <w:tc>
          <w:tcPr>
            <w:tcW w:w="15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仿宋"/>
                <w:color w:val="000000"/>
                <w:sz w:val="22"/>
                <w:szCs w:val="22"/>
              </w:rPr>
            </w:pPr>
          </w:p>
        </w:tc>
        <w:tc>
          <w:tcPr>
            <w:tcW w:w="53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仿宋"/>
                <w:color w:val="000000"/>
                <w:sz w:val="22"/>
                <w:szCs w:val="22"/>
              </w:rPr>
            </w:pPr>
            <w:r>
              <w:rPr>
                <w:rFonts w:eastAsia="仿宋"/>
                <w:color w:val="000000"/>
                <w:kern w:val="0"/>
                <w:sz w:val="22"/>
                <w:szCs w:val="22"/>
              </w:rPr>
              <w:t>开展城市森林建设。建设城市绿道绿廊，实施“退工还林还草”。大力提高城市建成区绿化覆盖率。</w:t>
            </w:r>
          </w:p>
        </w:tc>
        <w:tc>
          <w:tcPr>
            <w:tcW w:w="3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eastAsia="仿宋"/>
                <w:color w:val="000000"/>
                <w:kern w:val="0"/>
                <w:sz w:val="22"/>
                <w:szCs w:val="22"/>
              </w:rPr>
              <w:t>区综合行政执法局</w:t>
            </w:r>
          </w:p>
        </w:tc>
        <w:tc>
          <w:tcPr>
            <w:tcW w:w="37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hint="eastAsia" w:eastAsia="仿宋"/>
                <w:color w:val="000000"/>
                <w:kern w:val="0"/>
                <w:sz w:val="22"/>
                <w:szCs w:val="22"/>
              </w:rPr>
              <w:t>市自然资源和规划局鹿城分局</w:t>
            </w:r>
          </w:p>
        </w:tc>
      </w:tr>
      <w:tr>
        <w:tblPrEx>
          <w:tblCellMar>
            <w:top w:w="15" w:type="dxa"/>
            <w:left w:w="15" w:type="dxa"/>
            <w:bottom w:w="15" w:type="dxa"/>
            <w:right w:w="15"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42</w:t>
            </w:r>
          </w:p>
        </w:tc>
        <w:tc>
          <w:tcPr>
            <w:tcW w:w="157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eastAsia="仿宋"/>
                <w:color w:val="000000"/>
                <w:kern w:val="0"/>
                <w:sz w:val="22"/>
                <w:szCs w:val="22"/>
              </w:rPr>
              <w:t>加强扬尘综合治理</w:t>
            </w:r>
          </w:p>
        </w:tc>
        <w:tc>
          <w:tcPr>
            <w:tcW w:w="53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sz w:val="22"/>
                <w:szCs w:val="22"/>
              </w:rPr>
            </w:pPr>
            <w:r>
              <w:rPr>
                <w:rFonts w:hint="eastAsia" w:ascii="仿宋_GB2312"/>
                <w:sz w:val="22"/>
                <w:szCs w:val="22"/>
              </w:rPr>
              <w:t>严格施工扬尘监管。2018年底前，各地建立施工工地管理清单。</w:t>
            </w:r>
          </w:p>
        </w:tc>
        <w:tc>
          <w:tcPr>
            <w:tcW w:w="3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eastAsia="仿宋"/>
                <w:color w:val="000000"/>
                <w:kern w:val="0"/>
                <w:sz w:val="22"/>
                <w:szCs w:val="22"/>
              </w:rPr>
              <w:t>区住建局</w:t>
            </w:r>
          </w:p>
        </w:tc>
        <w:tc>
          <w:tcPr>
            <w:tcW w:w="3719"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color w:val="000000"/>
                <w:sz w:val="22"/>
                <w:szCs w:val="22"/>
              </w:rPr>
            </w:pPr>
            <w:r>
              <w:rPr>
                <w:rFonts w:hint="eastAsia" w:eastAsia="仿宋"/>
                <w:color w:val="000000"/>
                <w:sz w:val="22"/>
                <w:szCs w:val="22"/>
              </w:rPr>
              <w:t>区综合行政执法局、区城中村改造建设中心</w:t>
            </w:r>
          </w:p>
        </w:tc>
      </w:tr>
      <w:tr>
        <w:tblPrEx>
          <w:tblCellMar>
            <w:top w:w="15" w:type="dxa"/>
            <w:left w:w="15" w:type="dxa"/>
            <w:bottom w:w="15" w:type="dxa"/>
            <w:right w:w="15" w:type="dxa"/>
          </w:tblCellMar>
        </w:tblPrEx>
        <w:trPr>
          <w:trHeight w:val="1621"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43</w:t>
            </w:r>
          </w:p>
        </w:tc>
        <w:tc>
          <w:tcPr>
            <w:tcW w:w="15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仿宋"/>
                <w:color w:val="000000"/>
                <w:sz w:val="22"/>
                <w:szCs w:val="22"/>
              </w:rPr>
            </w:pPr>
          </w:p>
        </w:tc>
        <w:tc>
          <w:tcPr>
            <w:tcW w:w="53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sz w:val="22"/>
                <w:szCs w:val="22"/>
              </w:rPr>
            </w:pPr>
            <w:r>
              <w:rPr>
                <w:rFonts w:hint="eastAsia" w:ascii="仿宋_GB2312"/>
                <w:sz w:val="22"/>
                <w:szCs w:val="22"/>
              </w:rPr>
              <w:t>严格落实《浙江省促进散装水泥发展和应用条例》，在规定区域内禁止建设工程现场搅拌混凝土和砂浆，推广使用自动冲洗、雾炮等扬尘防控新技术，安装在线监测和视频监控设备，并与当地有关主管部门联网，扬尘治理费用列入工程造价。</w:t>
            </w:r>
          </w:p>
        </w:tc>
        <w:tc>
          <w:tcPr>
            <w:tcW w:w="3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eastAsia="仿宋"/>
                <w:color w:val="000000"/>
                <w:kern w:val="0"/>
                <w:sz w:val="22"/>
                <w:szCs w:val="22"/>
              </w:rPr>
              <w:t>区住建局</w:t>
            </w:r>
            <w:r>
              <w:rPr>
                <w:rFonts w:hint="eastAsia" w:eastAsia="仿宋"/>
                <w:color w:val="000000"/>
                <w:kern w:val="0"/>
                <w:sz w:val="22"/>
                <w:szCs w:val="22"/>
              </w:rPr>
              <w:t>、</w:t>
            </w:r>
            <w:r>
              <w:rPr>
                <w:rFonts w:eastAsia="仿宋"/>
                <w:color w:val="000000"/>
                <w:kern w:val="0"/>
                <w:sz w:val="22"/>
                <w:szCs w:val="22"/>
              </w:rPr>
              <w:t>区发改局</w:t>
            </w:r>
          </w:p>
        </w:tc>
        <w:tc>
          <w:tcPr>
            <w:tcW w:w="37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hint="eastAsia" w:eastAsia="仿宋"/>
                <w:color w:val="000000"/>
                <w:kern w:val="0"/>
                <w:sz w:val="22"/>
                <w:szCs w:val="22"/>
              </w:rPr>
              <w:t>市自然资源和规划局鹿城分局</w:t>
            </w:r>
            <w:r>
              <w:rPr>
                <w:rFonts w:eastAsia="仿宋"/>
                <w:color w:val="000000"/>
                <w:kern w:val="0"/>
                <w:sz w:val="22"/>
                <w:szCs w:val="22"/>
              </w:rPr>
              <w:t>、</w:t>
            </w:r>
            <w:r>
              <w:rPr>
                <w:rFonts w:hint="eastAsia" w:eastAsia="仿宋"/>
                <w:color w:val="000000"/>
                <w:kern w:val="0"/>
                <w:sz w:val="22"/>
                <w:szCs w:val="22"/>
              </w:rPr>
              <w:t>市生态环境局鹿城分局</w:t>
            </w:r>
          </w:p>
        </w:tc>
      </w:tr>
      <w:tr>
        <w:tblPrEx>
          <w:tblCellMar>
            <w:top w:w="15" w:type="dxa"/>
            <w:left w:w="15" w:type="dxa"/>
            <w:bottom w:w="15" w:type="dxa"/>
            <w:right w:w="15"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44</w:t>
            </w:r>
          </w:p>
        </w:tc>
        <w:tc>
          <w:tcPr>
            <w:tcW w:w="15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仿宋"/>
                <w:color w:val="000000"/>
                <w:sz w:val="22"/>
                <w:szCs w:val="22"/>
              </w:rPr>
            </w:pPr>
          </w:p>
        </w:tc>
        <w:tc>
          <w:tcPr>
            <w:tcW w:w="53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sz w:val="22"/>
                <w:szCs w:val="22"/>
              </w:rPr>
            </w:pPr>
            <w:r>
              <w:rPr>
                <w:rFonts w:hint="eastAsia" w:ascii="仿宋_GB2312"/>
                <w:sz w:val="22"/>
                <w:szCs w:val="22"/>
              </w:rPr>
              <w:t>将扬尘管理工作不到位的不良信息纳入建筑市场信用管理体系，情节严重的列入建筑市场主体黑名单。</w:t>
            </w:r>
          </w:p>
        </w:tc>
        <w:tc>
          <w:tcPr>
            <w:tcW w:w="3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eastAsia="仿宋"/>
                <w:color w:val="000000"/>
                <w:kern w:val="0"/>
                <w:sz w:val="22"/>
                <w:szCs w:val="22"/>
              </w:rPr>
              <w:t>区住建局</w:t>
            </w:r>
          </w:p>
        </w:tc>
        <w:tc>
          <w:tcPr>
            <w:tcW w:w="3719"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color w:val="000000"/>
                <w:sz w:val="22"/>
                <w:szCs w:val="22"/>
              </w:rPr>
            </w:pPr>
          </w:p>
        </w:tc>
      </w:tr>
      <w:tr>
        <w:tblPrEx>
          <w:tblCellMar>
            <w:top w:w="15" w:type="dxa"/>
            <w:left w:w="15" w:type="dxa"/>
            <w:bottom w:w="15" w:type="dxa"/>
            <w:right w:w="15" w:type="dxa"/>
          </w:tblCellMar>
        </w:tblPrEx>
        <w:trPr>
          <w:trHeight w:val="286"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45</w:t>
            </w:r>
          </w:p>
        </w:tc>
        <w:tc>
          <w:tcPr>
            <w:tcW w:w="15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仿宋"/>
                <w:color w:val="000000"/>
                <w:sz w:val="22"/>
                <w:szCs w:val="22"/>
              </w:rPr>
            </w:pPr>
          </w:p>
        </w:tc>
        <w:tc>
          <w:tcPr>
            <w:tcW w:w="53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sz w:val="22"/>
                <w:szCs w:val="22"/>
              </w:rPr>
            </w:pPr>
            <w:r>
              <w:rPr>
                <w:rFonts w:hint="eastAsia" w:ascii="仿宋_GB2312"/>
                <w:sz w:val="22"/>
                <w:szCs w:val="22"/>
              </w:rPr>
              <w:t>到2020年，装配式建筑占新建建筑比例达到30%。</w:t>
            </w:r>
          </w:p>
        </w:tc>
        <w:tc>
          <w:tcPr>
            <w:tcW w:w="3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eastAsia="仿宋"/>
                <w:color w:val="000000"/>
                <w:kern w:val="0"/>
                <w:sz w:val="22"/>
                <w:szCs w:val="22"/>
              </w:rPr>
              <w:t>区住建局</w:t>
            </w:r>
          </w:p>
        </w:tc>
        <w:tc>
          <w:tcPr>
            <w:tcW w:w="3719"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color w:val="000000"/>
                <w:sz w:val="22"/>
                <w:szCs w:val="22"/>
              </w:rPr>
            </w:pPr>
          </w:p>
        </w:tc>
      </w:tr>
      <w:tr>
        <w:tblPrEx>
          <w:tblCellMar>
            <w:top w:w="15" w:type="dxa"/>
            <w:left w:w="15" w:type="dxa"/>
            <w:bottom w:w="15" w:type="dxa"/>
            <w:right w:w="15"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46</w:t>
            </w:r>
          </w:p>
        </w:tc>
        <w:tc>
          <w:tcPr>
            <w:tcW w:w="15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仿宋"/>
                <w:color w:val="000000"/>
                <w:sz w:val="22"/>
                <w:szCs w:val="22"/>
              </w:rPr>
            </w:pPr>
          </w:p>
        </w:tc>
        <w:tc>
          <w:tcPr>
            <w:tcW w:w="53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sz w:val="22"/>
                <w:szCs w:val="22"/>
              </w:rPr>
            </w:pPr>
            <w:r>
              <w:rPr>
                <w:rFonts w:hint="eastAsia" w:ascii="仿宋_GB2312"/>
                <w:sz w:val="22"/>
                <w:szCs w:val="22"/>
              </w:rPr>
              <w:t>2020年底前，鹿城建成区道路机械化清扫率达到75%以上。</w:t>
            </w:r>
          </w:p>
        </w:tc>
        <w:tc>
          <w:tcPr>
            <w:tcW w:w="3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eastAsia="仿宋"/>
                <w:color w:val="000000"/>
                <w:kern w:val="0"/>
                <w:sz w:val="22"/>
                <w:szCs w:val="22"/>
              </w:rPr>
              <w:t>区综合行政执法局</w:t>
            </w:r>
          </w:p>
        </w:tc>
        <w:tc>
          <w:tcPr>
            <w:tcW w:w="3719"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color w:val="000000"/>
                <w:sz w:val="22"/>
                <w:szCs w:val="22"/>
              </w:rPr>
            </w:pPr>
          </w:p>
        </w:tc>
      </w:tr>
      <w:tr>
        <w:tblPrEx>
          <w:tblCellMar>
            <w:top w:w="15" w:type="dxa"/>
            <w:left w:w="15" w:type="dxa"/>
            <w:bottom w:w="15" w:type="dxa"/>
            <w:right w:w="15"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47</w:t>
            </w:r>
          </w:p>
        </w:tc>
        <w:tc>
          <w:tcPr>
            <w:tcW w:w="15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仿宋"/>
                <w:color w:val="000000"/>
                <w:sz w:val="22"/>
                <w:szCs w:val="22"/>
              </w:rPr>
            </w:pPr>
          </w:p>
        </w:tc>
        <w:tc>
          <w:tcPr>
            <w:tcW w:w="53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sz w:val="22"/>
                <w:szCs w:val="22"/>
              </w:rPr>
            </w:pPr>
            <w:r>
              <w:rPr>
                <w:rFonts w:hint="eastAsia" w:ascii="仿宋_GB2312"/>
                <w:sz w:val="22"/>
                <w:szCs w:val="22"/>
              </w:rPr>
              <w:t>实施降尘考核，全区平均降尘量不得高于5吨/月·平方公里。</w:t>
            </w:r>
          </w:p>
        </w:tc>
        <w:tc>
          <w:tcPr>
            <w:tcW w:w="3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hint="eastAsia" w:eastAsia="仿宋"/>
                <w:color w:val="000000"/>
                <w:kern w:val="0"/>
                <w:sz w:val="22"/>
                <w:szCs w:val="22"/>
              </w:rPr>
              <w:t>市生态环境局鹿城分局</w:t>
            </w:r>
          </w:p>
        </w:tc>
        <w:tc>
          <w:tcPr>
            <w:tcW w:w="37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eastAsia="仿宋"/>
                <w:color w:val="000000"/>
                <w:kern w:val="0"/>
                <w:sz w:val="22"/>
                <w:szCs w:val="22"/>
              </w:rPr>
              <w:t>区住建局、区综合行政执法局、</w:t>
            </w:r>
            <w:r>
              <w:rPr>
                <w:rFonts w:hint="eastAsia" w:eastAsia="仿宋"/>
                <w:color w:val="000000"/>
                <w:kern w:val="0"/>
                <w:sz w:val="22"/>
                <w:szCs w:val="22"/>
              </w:rPr>
              <w:t>市自然资源和规划局鹿城分局</w:t>
            </w:r>
          </w:p>
        </w:tc>
      </w:tr>
      <w:tr>
        <w:tblPrEx>
          <w:tblCellMar>
            <w:top w:w="15" w:type="dxa"/>
            <w:left w:w="15" w:type="dxa"/>
            <w:bottom w:w="15" w:type="dxa"/>
            <w:right w:w="15" w:type="dxa"/>
          </w:tblCellMar>
        </w:tblPrEx>
        <w:trPr>
          <w:trHeight w:val="108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48</w:t>
            </w:r>
          </w:p>
        </w:tc>
        <w:tc>
          <w:tcPr>
            <w:tcW w:w="157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eastAsia="仿宋"/>
                <w:color w:val="000000"/>
                <w:kern w:val="0"/>
                <w:sz w:val="22"/>
                <w:szCs w:val="22"/>
              </w:rPr>
              <w:t>加强秸秆综合利用和氨排放控制</w:t>
            </w:r>
          </w:p>
        </w:tc>
        <w:tc>
          <w:tcPr>
            <w:tcW w:w="53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sz w:val="22"/>
                <w:szCs w:val="22"/>
              </w:rPr>
            </w:pPr>
            <w:r>
              <w:rPr>
                <w:rFonts w:hint="eastAsia" w:ascii="仿宋_GB2312"/>
                <w:sz w:val="22"/>
                <w:szCs w:val="22"/>
              </w:rPr>
              <w:t>全面加强秸秆综合利用，到 2020 年，全区秸秆综合利用率达到95%。增加有机肥使用量，实现化肥农药使用量负增长，到 2020年，化肥利用率达到 40%以上。提高畜禽粪污综合利用率，减少氨挥发排放。</w:t>
            </w:r>
          </w:p>
        </w:tc>
        <w:tc>
          <w:tcPr>
            <w:tcW w:w="3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hint="eastAsia" w:eastAsia="仿宋"/>
                <w:color w:val="000000"/>
                <w:kern w:val="0"/>
                <w:sz w:val="22"/>
                <w:szCs w:val="22"/>
              </w:rPr>
              <w:t>区农业农村局</w:t>
            </w:r>
          </w:p>
        </w:tc>
        <w:tc>
          <w:tcPr>
            <w:tcW w:w="37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hint="eastAsia" w:eastAsia="仿宋"/>
                <w:color w:val="000000"/>
                <w:kern w:val="0"/>
                <w:sz w:val="22"/>
                <w:szCs w:val="22"/>
              </w:rPr>
              <w:t>市生态环境局鹿城分局</w:t>
            </w:r>
          </w:p>
        </w:tc>
      </w:tr>
      <w:tr>
        <w:tblPrEx>
          <w:tblCellMar>
            <w:top w:w="15" w:type="dxa"/>
            <w:left w:w="15" w:type="dxa"/>
            <w:bottom w:w="15" w:type="dxa"/>
            <w:right w:w="15" w:type="dxa"/>
          </w:tblCellMar>
        </w:tblPrEx>
        <w:trPr>
          <w:trHeight w:val="108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49</w:t>
            </w:r>
          </w:p>
        </w:tc>
        <w:tc>
          <w:tcPr>
            <w:tcW w:w="15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仿宋"/>
                <w:color w:val="000000"/>
                <w:sz w:val="22"/>
                <w:szCs w:val="22"/>
              </w:rPr>
            </w:pPr>
          </w:p>
        </w:tc>
        <w:tc>
          <w:tcPr>
            <w:tcW w:w="53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sz w:val="22"/>
                <w:szCs w:val="22"/>
              </w:rPr>
            </w:pPr>
            <w:r>
              <w:rPr>
                <w:rFonts w:hint="eastAsia" w:ascii="仿宋_GB2312"/>
                <w:sz w:val="22"/>
                <w:szCs w:val="22"/>
              </w:rPr>
              <w:t>加强农业生产活动排放大气污染物的监督管理。建立网格化监管制度，在夏收和秋收阶段开展秸秆禁烧专项巡查。严防因秸秆、垃圾等露天焚烧造成重污染天气。</w:t>
            </w:r>
          </w:p>
        </w:tc>
        <w:tc>
          <w:tcPr>
            <w:tcW w:w="3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hint="eastAsia" w:eastAsia="仿宋"/>
                <w:color w:val="000000"/>
                <w:kern w:val="0"/>
                <w:sz w:val="22"/>
                <w:szCs w:val="22"/>
              </w:rPr>
              <w:t>市生态环境局鹿城分局</w:t>
            </w:r>
          </w:p>
        </w:tc>
        <w:tc>
          <w:tcPr>
            <w:tcW w:w="37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hint="eastAsia" w:eastAsia="仿宋"/>
                <w:color w:val="000000"/>
                <w:kern w:val="0"/>
                <w:sz w:val="22"/>
                <w:szCs w:val="22"/>
              </w:rPr>
              <w:t>区农业农村局、</w:t>
            </w:r>
            <w:r>
              <w:rPr>
                <w:rFonts w:eastAsia="仿宋"/>
                <w:color w:val="000000"/>
                <w:kern w:val="0"/>
                <w:sz w:val="22"/>
                <w:szCs w:val="22"/>
              </w:rPr>
              <w:t>区综合行政执法局</w:t>
            </w:r>
          </w:p>
        </w:tc>
      </w:tr>
      <w:tr>
        <w:tblPrEx>
          <w:tblCellMar>
            <w:top w:w="15" w:type="dxa"/>
            <w:left w:w="15" w:type="dxa"/>
            <w:bottom w:w="15" w:type="dxa"/>
            <w:right w:w="15" w:type="dxa"/>
          </w:tblCellMar>
        </w:tblPrEx>
        <w:trPr>
          <w:trHeight w:val="286" w:hRule="atLeast"/>
        </w:trPr>
        <w:tc>
          <w:tcPr>
            <w:tcW w:w="14880"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仿宋"/>
                <w:color w:val="000000"/>
                <w:sz w:val="22"/>
                <w:szCs w:val="22"/>
              </w:rPr>
            </w:pPr>
            <w:r>
              <w:rPr>
                <w:rFonts w:eastAsia="仿宋"/>
                <w:color w:val="000000"/>
                <w:kern w:val="0"/>
                <w:sz w:val="22"/>
                <w:szCs w:val="22"/>
              </w:rPr>
              <w:t>五、开展深化治理，推进有机废气减排</w:t>
            </w:r>
          </w:p>
        </w:tc>
      </w:tr>
      <w:tr>
        <w:tblPrEx>
          <w:tblCellMar>
            <w:top w:w="15" w:type="dxa"/>
            <w:left w:w="15" w:type="dxa"/>
            <w:bottom w:w="15" w:type="dxa"/>
            <w:right w:w="15" w:type="dxa"/>
          </w:tblCellMar>
        </w:tblPrEx>
        <w:trPr>
          <w:trHeight w:val="1621"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50</w:t>
            </w:r>
          </w:p>
        </w:tc>
        <w:tc>
          <w:tcPr>
            <w:tcW w:w="157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严格建设项目环境准入</w:t>
            </w:r>
          </w:p>
        </w:tc>
        <w:tc>
          <w:tcPr>
            <w:tcW w:w="53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sz w:val="22"/>
                <w:szCs w:val="22"/>
              </w:rPr>
            </w:pPr>
            <w:r>
              <w:rPr>
                <w:rFonts w:hint="eastAsia" w:ascii="仿宋_GB2312"/>
                <w:sz w:val="22"/>
                <w:szCs w:val="22"/>
              </w:rPr>
              <w:t>提高挥发性有机物排放重点行业环保准入门槛，控制新增污染物排放量。严格限制石化、化工、工业涂装、包装印刷等高挥发性有机物排放建设项目。新建涉挥发性有机物排放的重点工业企业应进入园区，新建化工项目进入符合区域规划和规划环评要求的化工园区或化工集聚区块。</w:t>
            </w:r>
          </w:p>
        </w:tc>
        <w:tc>
          <w:tcPr>
            <w:tcW w:w="3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hint="eastAsia" w:eastAsia="仿宋"/>
                <w:color w:val="000000"/>
                <w:kern w:val="0"/>
                <w:sz w:val="22"/>
                <w:szCs w:val="22"/>
              </w:rPr>
              <w:t>市生态环境局鹿城分局</w:t>
            </w:r>
          </w:p>
        </w:tc>
        <w:tc>
          <w:tcPr>
            <w:tcW w:w="37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eastAsia="仿宋"/>
                <w:color w:val="000000"/>
                <w:kern w:val="0"/>
                <w:sz w:val="22"/>
                <w:szCs w:val="22"/>
              </w:rPr>
              <w:t>区发改局、区经信局</w:t>
            </w:r>
          </w:p>
        </w:tc>
      </w:tr>
      <w:tr>
        <w:tblPrEx>
          <w:tblCellMar>
            <w:top w:w="15" w:type="dxa"/>
            <w:left w:w="15" w:type="dxa"/>
            <w:bottom w:w="15" w:type="dxa"/>
            <w:right w:w="15" w:type="dxa"/>
          </w:tblCellMar>
        </w:tblPrEx>
        <w:trPr>
          <w:trHeight w:val="1756"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51</w:t>
            </w:r>
          </w:p>
        </w:tc>
        <w:tc>
          <w:tcPr>
            <w:tcW w:w="15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p>
        </w:tc>
        <w:tc>
          <w:tcPr>
            <w:tcW w:w="53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sz w:val="22"/>
                <w:szCs w:val="22"/>
              </w:rPr>
            </w:pPr>
            <w:r>
              <w:rPr>
                <w:rFonts w:hint="eastAsia" w:ascii="仿宋_GB2312"/>
                <w:sz w:val="22"/>
                <w:szCs w:val="22"/>
              </w:rPr>
              <w:t>严格执行涉挥发性有机物建设项目环境影响评价，新增挥发性有机物排放量实行区域内现役源 2 倍削减量替代，并将替代方案落实到企业排污许可证中。建立覆盖所有固定污染源的企业排放许可制度，2020年底前，完成排污许可管理名录规定的行业许可证核发。</w:t>
            </w:r>
          </w:p>
        </w:tc>
        <w:tc>
          <w:tcPr>
            <w:tcW w:w="3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hint="eastAsia" w:eastAsia="仿宋"/>
                <w:color w:val="000000"/>
                <w:kern w:val="0"/>
                <w:sz w:val="22"/>
                <w:szCs w:val="22"/>
              </w:rPr>
              <w:t>市生态环境局鹿城分局</w:t>
            </w:r>
          </w:p>
        </w:tc>
        <w:tc>
          <w:tcPr>
            <w:tcW w:w="3719"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color w:val="000000"/>
                <w:sz w:val="22"/>
                <w:szCs w:val="22"/>
              </w:rPr>
            </w:pPr>
          </w:p>
        </w:tc>
      </w:tr>
      <w:tr>
        <w:tblPrEx>
          <w:tblCellMar>
            <w:top w:w="15" w:type="dxa"/>
            <w:left w:w="15" w:type="dxa"/>
            <w:bottom w:w="15" w:type="dxa"/>
            <w:right w:w="15" w:type="dxa"/>
          </w:tblCellMar>
        </w:tblPrEx>
        <w:trPr>
          <w:trHeight w:val="108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52</w:t>
            </w:r>
          </w:p>
        </w:tc>
        <w:tc>
          <w:tcPr>
            <w:tcW w:w="15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p>
        </w:tc>
        <w:tc>
          <w:tcPr>
            <w:tcW w:w="53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sz w:val="22"/>
                <w:szCs w:val="22"/>
              </w:rPr>
            </w:pPr>
            <w:r>
              <w:rPr>
                <w:rFonts w:hint="eastAsia" w:ascii="仿宋_GB2312"/>
                <w:sz w:val="22"/>
                <w:szCs w:val="22"/>
              </w:rPr>
              <w:t>以石化、化工、工业涂装、制鞋、合成革、纺织印染、橡胶和塑料制品、包装印刷等行业为重点，全面推进挥发性有机物治理和工业废气清洁排放改造。持续推进工业污染源全面达标排放。</w:t>
            </w:r>
          </w:p>
        </w:tc>
        <w:tc>
          <w:tcPr>
            <w:tcW w:w="3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hint="eastAsia" w:eastAsia="仿宋"/>
                <w:color w:val="000000"/>
                <w:kern w:val="0"/>
                <w:sz w:val="22"/>
                <w:szCs w:val="22"/>
              </w:rPr>
              <w:t>市生态环境局鹿城分局</w:t>
            </w:r>
          </w:p>
        </w:tc>
        <w:tc>
          <w:tcPr>
            <w:tcW w:w="37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eastAsia="仿宋"/>
                <w:color w:val="000000"/>
                <w:kern w:val="0"/>
                <w:sz w:val="22"/>
                <w:szCs w:val="22"/>
              </w:rPr>
              <w:t>区发改局、区经信局</w:t>
            </w:r>
          </w:p>
        </w:tc>
      </w:tr>
      <w:tr>
        <w:tblPrEx>
          <w:tblCellMar>
            <w:top w:w="15" w:type="dxa"/>
            <w:left w:w="15" w:type="dxa"/>
            <w:bottom w:w="15" w:type="dxa"/>
            <w:right w:w="15" w:type="dxa"/>
          </w:tblCellMar>
        </w:tblPrEx>
        <w:trPr>
          <w:trHeight w:val="81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53</w:t>
            </w:r>
          </w:p>
        </w:tc>
        <w:tc>
          <w:tcPr>
            <w:tcW w:w="15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p>
        </w:tc>
        <w:tc>
          <w:tcPr>
            <w:tcW w:w="53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sz w:val="22"/>
                <w:szCs w:val="22"/>
              </w:rPr>
            </w:pPr>
            <w:r>
              <w:rPr>
                <w:rFonts w:hint="eastAsia" w:ascii="仿宋_GB2312"/>
                <w:sz w:val="22"/>
                <w:szCs w:val="22"/>
              </w:rPr>
              <w:t>开展建材、有色金属、火电、铸造等重点行业及燃煤锅炉无组织排放排查，2019年底前，完成深度治理任务。</w:t>
            </w:r>
          </w:p>
        </w:tc>
        <w:tc>
          <w:tcPr>
            <w:tcW w:w="3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hint="eastAsia" w:eastAsia="仿宋"/>
                <w:color w:val="000000"/>
                <w:kern w:val="0"/>
                <w:sz w:val="22"/>
                <w:szCs w:val="22"/>
              </w:rPr>
              <w:t>市生态环境局鹿城分局</w:t>
            </w:r>
          </w:p>
        </w:tc>
        <w:tc>
          <w:tcPr>
            <w:tcW w:w="37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eastAsia="仿宋"/>
                <w:color w:val="000000"/>
                <w:kern w:val="0"/>
                <w:sz w:val="22"/>
                <w:szCs w:val="22"/>
              </w:rPr>
              <w:t>区发改局</w:t>
            </w:r>
          </w:p>
        </w:tc>
      </w:tr>
      <w:tr>
        <w:tblPrEx>
          <w:tblCellMar>
            <w:top w:w="15" w:type="dxa"/>
            <w:left w:w="15" w:type="dxa"/>
            <w:bottom w:w="15" w:type="dxa"/>
            <w:right w:w="15" w:type="dxa"/>
          </w:tblCellMar>
        </w:tblPrEx>
        <w:trPr>
          <w:trHeight w:val="108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54</w:t>
            </w:r>
          </w:p>
        </w:tc>
        <w:tc>
          <w:tcPr>
            <w:tcW w:w="15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p>
        </w:tc>
        <w:tc>
          <w:tcPr>
            <w:tcW w:w="53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sz w:val="22"/>
                <w:szCs w:val="22"/>
              </w:rPr>
            </w:pPr>
            <w:r>
              <w:rPr>
                <w:rFonts w:hint="eastAsia" w:ascii="仿宋_GB2312"/>
                <w:sz w:val="22"/>
                <w:szCs w:val="22"/>
              </w:rPr>
              <w:t>推进重点工业园区废气治理，编制废气专项整治方案，建立涉气排放企业清单，落实网格化管理，2018年底前完成15个小微园区435家制鞋企业整治提升，2020年底前完成重点工业园区废气整治。</w:t>
            </w:r>
          </w:p>
        </w:tc>
        <w:tc>
          <w:tcPr>
            <w:tcW w:w="3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hint="eastAsia" w:eastAsia="仿宋"/>
                <w:color w:val="000000"/>
                <w:kern w:val="0"/>
                <w:sz w:val="22"/>
                <w:szCs w:val="22"/>
              </w:rPr>
              <w:t>市生态环境局鹿城分局</w:t>
            </w:r>
          </w:p>
        </w:tc>
        <w:tc>
          <w:tcPr>
            <w:tcW w:w="37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eastAsia="仿宋"/>
                <w:color w:val="000000"/>
                <w:kern w:val="0"/>
                <w:sz w:val="22"/>
                <w:szCs w:val="22"/>
              </w:rPr>
              <w:t>区经信局</w:t>
            </w:r>
          </w:p>
        </w:tc>
      </w:tr>
      <w:tr>
        <w:tblPrEx>
          <w:tblCellMar>
            <w:top w:w="15" w:type="dxa"/>
            <w:left w:w="15" w:type="dxa"/>
            <w:bottom w:w="15" w:type="dxa"/>
            <w:right w:w="15"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55</w:t>
            </w:r>
          </w:p>
        </w:tc>
        <w:tc>
          <w:tcPr>
            <w:tcW w:w="15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p>
        </w:tc>
        <w:tc>
          <w:tcPr>
            <w:tcW w:w="53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sz w:val="22"/>
                <w:szCs w:val="22"/>
              </w:rPr>
            </w:pPr>
            <w:r>
              <w:rPr>
                <w:rFonts w:hint="eastAsia" w:ascii="仿宋_GB2312"/>
                <w:sz w:val="22"/>
                <w:szCs w:val="22"/>
              </w:rPr>
              <w:t>推进工业涂装、制鞋、包装印刷等行业挥发性有机物污染整治，完成制鞋等行业重点整治提升项目。</w:t>
            </w:r>
          </w:p>
        </w:tc>
        <w:tc>
          <w:tcPr>
            <w:tcW w:w="3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hint="eastAsia" w:eastAsia="仿宋"/>
                <w:color w:val="000000"/>
                <w:kern w:val="0"/>
                <w:sz w:val="22"/>
                <w:szCs w:val="22"/>
              </w:rPr>
              <w:t>市生态环境局鹿城分局</w:t>
            </w:r>
          </w:p>
        </w:tc>
        <w:tc>
          <w:tcPr>
            <w:tcW w:w="37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eastAsia="仿宋"/>
                <w:color w:val="000000"/>
                <w:kern w:val="0"/>
                <w:sz w:val="22"/>
                <w:szCs w:val="22"/>
              </w:rPr>
              <w:t>区经信局</w:t>
            </w:r>
          </w:p>
        </w:tc>
      </w:tr>
      <w:tr>
        <w:tblPrEx>
          <w:tblCellMar>
            <w:top w:w="15" w:type="dxa"/>
            <w:left w:w="15" w:type="dxa"/>
            <w:bottom w:w="15" w:type="dxa"/>
            <w:right w:w="15"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56</w:t>
            </w:r>
          </w:p>
        </w:tc>
        <w:tc>
          <w:tcPr>
            <w:tcW w:w="157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sz w:val="22"/>
                <w:szCs w:val="22"/>
              </w:rPr>
            </w:pPr>
            <w:r>
              <w:rPr>
                <w:rFonts w:hint="eastAsia" w:ascii="仿宋_GB2312"/>
                <w:sz w:val="22"/>
                <w:szCs w:val="22"/>
              </w:rPr>
              <w:t>加快推进工业源挥发性有机物减排</w:t>
            </w:r>
          </w:p>
        </w:tc>
        <w:tc>
          <w:tcPr>
            <w:tcW w:w="53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sz w:val="22"/>
                <w:szCs w:val="22"/>
              </w:rPr>
            </w:pPr>
            <w:r>
              <w:rPr>
                <w:rFonts w:hint="eastAsia" w:ascii="仿宋_GB2312"/>
                <w:sz w:val="22"/>
                <w:szCs w:val="22"/>
              </w:rPr>
              <w:t>建立健全挥发性有机物排放清单，定期开展挥发性有机物排放清单动态更新。</w:t>
            </w:r>
          </w:p>
        </w:tc>
        <w:tc>
          <w:tcPr>
            <w:tcW w:w="3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hint="eastAsia" w:eastAsia="仿宋"/>
                <w:color w:val="000000"/>
                <w:kern w:val="0"/>
                <w:sz w:val="22"/>
                <w:szCs w:val="22"/>
              </w:rPr>
              <w:t>市生态环境局鹿城分局</w:t>
            </w:r>
          </w:p>
        </w:tc>
        <w:tc>
          <w:tcPr>
            <w:tcW w:w="3719"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color w:val="000000"/>
                <w:sz w:val="22"/>
                <w:szCs w:val="22"/>
              </w:rPr>
            </w:pPr>
          </w:p>
        </w:tc>
      </w:tr>
      <w:tr>
        <w:tblPrEx>
          <w:tblCellMar>
            <w:top w:w="15" w:type="dxa"/>
            <w:left w:w="15" w:type="dxa"/>
            <w:bottom w:w="15" w:type="dxa"/>
            <w:right w:w="15" w:type="dxa"/>
          </w:tblCellMar>
        </w:tblPrEx>
        <w:trPr>
          <w:trHeight w:val="1651"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57</w:t>
            </w:r>
          </w:p>
        </w:tc>
        <w:tc>
          <w:tcPr>
            <w:tcW w:w="15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sz w:val="22"/>
                <w:szCs w:val="22"/>
              </w:rPr>
            </w:pPr>
          </w:p>
        </w:tc>
        <w:tc>
          <w:tcPr>
            <w:tcW w:w="53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sz w:val="22"/>
                <w:szCs w:val="22"/>
              </w:rPr>
            </w:pPr>
            <w:r>
              <w:rPr>
                <w:rFonts w:hint="eastAsia" w:ascii="仿宋_GB2312"/>
                <w:sz w:val="22"/>
                <w:szCs w:val="22"/>
              </w:rPr>
              <w:t>严格执行《浙江省挥发性有机物深化治理与减排工作方案（2017—2020年）》，落实挥发性有机物治理技术指南，实施挥发性有机物重点行业和油品储运销综合整治，深入开展泄漏检测与修复。禁止建设生产和使用高挥发性有机物含量的溶剂型涂料、油墨、胶粘剂等项目。</w:t>
            </w:r>
          </w:p>
        </w:tc>
        <w:tc>
          <w:tcPr>
            <w:tcW w:w="3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hint="eastAsia" w:eastAsia="仿宋"/>
                <w:color w:val="000000"/>
                <w:kern w:val="0"/>
                <w:sz w:val="22"/>
                <w:szCs w:val="22"/>
              </w:rPr>
              <w:t>市生态环境局鹿城分局</w:t>
            </w:r>
          </w:p>
        </w:tc>
        <w:tc>
          <w:tcPr>
            <w:tcW w:w="37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eastAsia="仿宋"/>
                <w:color w:val="000000"/>
                <w:kern w:val="0"/>
                <w:sz w:val="22"/>
                <w:szCs w:val="22"/>
              </w:rPr>
              <w:t>区发改局、区经信局</w:t>
            </w:r>
          </w:p>
        </w:tc>
      </w:tr>
      <w:tr>
        <w:tblPrEx>
          <w:tblCellMar>
            <w:top w:w="15" w:type="dxa"/>
            <w:left w:w="15" w:type="dxa"/>
            <w:bottom w:w="15" w:type="dxa"/>
            <w:right w:w="15" w:type="dxa"/>
          </w:tblCellMar>
        </w:tblPrEx>
        <w:trPr>
          <w:trHeight w:val="108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58</w:t>
            </w:r>
          </w:p>
        </w:tc>
        <w:tc>
          <w:tcPr>
            <w:tcW w:w="15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sz w:val="22"/>
                <w:szCs w:val="22"/>
              </w:rPr>
            </w:pPr>
          </w:p>
        </w:tc>
        <w:tc>
          <w:tcPr>
            <w:tcW w:w="53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sz w:val="22"/>
                <w:szCs w:val="22"/>
              </w:rPr>
            </w:pPr>
            <w:r>
              <w:rPr>
                <w:rFonts w:hint="eastAsia" w:ascii="仿宋_GB2312"/>
                <w:sz w:val="22"/>
                <w:szCs w:val="22"/>
              </w:rPr>
              <w:t>开展挥发性有机物整治专项执法。全面提高挥发性有机物监管能力和技术水平，加强执法人员装备和能力建设。加强日常督查和执法检查，重点行业开展挥发性有机物对标督查。</w:t>
            </w:r>
          </w:p>
        </w:tc>
        <w:tc>
          <w:tcPr>
            <w:tcW w:w="3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hint="eastAsia" w:eastAsia="仿宋"/>
                <w:color w:val="000000"/>
                <w:kern w:val="0"/>
                <w:sz w:val="22"/>
                <w:szCs w:val="22"/>
              </w:rPr>
              <w:t>市生态环境局鹿城分局</w:t>
            </w:r>
          </w:p>
        </w:tc>
        <w:tc>
          <w:tcPr>
            <w:tcW w:w="3719"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color w:val="000000"/>
                <w:sz w:val="22"/>
                <w:szCs w:val="22"/>
              </w:rPr>
            </w:pPr>
          </w:p>
        </w:tc>
      </w:tr>
      <w:tr>
        <w:tblPrEx>
          <w:tblCellMar>
            <w:top w:w="15" w:type="dxa"/>
            <w:left w:w="15" w:type="dxa"/>
            <w:bottom w:w="15" w:type="dxa"/>
            <w:right w:w="15"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59</w:t>
            </w:r>
          </w:p>
        </w:tc>
        <w:tc>
          <w:tcPr>
            <w:tcW w:w="15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sz w:val="22"/>
                <w:szCs w:val="22"/>
              </w:rPr>
            </w:pPr>
          </w:p>
        </w:tc>
        <w:tc>
          <w:tcPr>
            <w:tcW w:w="53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sz w:val="22"/>
                <w:szCs w:val="22"/>
              </w:rPr>
            </w:pPr>
            <w:r>
              <w:rPr>
                <w:rFonts w:hint="eastAsia" w:ascii="仿宋_GB2312"/>
                <w:sz w:val="22"/>
                <w:szCs w:val="22"/>
              </w:rPr>
              <w:t>2020年，全区挥发性有机物排放总量较2015年下降18%，重点行业下降30%以上。</w:t>
            </w:r>
          </w:p>
        </w:tc>
        <w:tc>
          <w:tcPr>
            <w:tcW w:w="3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hint="eastAsia" w:eastAsia="仿宋"/>
                <w:color w:val="000000"/>
                <w:kern w:val="0"/>
                <w:sz w:val="22"/>
                <w:szCs w:val="22"/>
              </w:rPr>
              <w:t>市生态环境局鹿城分局</w:t>
            </w:r>
          </w:p>
        </w:tc>
        <w:tc>
          <w:tcPr>
            <w:tcW w:w="37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eastAsia="仿宋"/>
                <w:color w:val="000000"/>
                <w:kern w:val="0"/>
                <w:sz w:val="22"/>
                <w:szCs w:val="22"/>
              </w:rPr>
              <w:t>区发改局、区经信局、</w:t>
            </w:r>
            <w:r>
              <w:rPr>
                <w:rFonts w:hint="eastAsia" w:eastAsia="仿宋"/>
                <w:color w:val="000000"/>
                <w:kern w:val="0"/>
                <w:sz w:val="22"/>
                <w:szCs w:val="22"/>
              </w:rPr>
              <w:t>区市场监管局</w:t>
            </w:r>
          </w:p>
        </w:tc>
      </w:tr>
      <w:tr>
        <w:tblPrEx>
          <w:tblCellMar>
            <w:top w:w="15" w:type="dxa"/>
            <w:left w:w="15" w:type="dxa"/>
            <w:bottom w:w="15" w:type="dxa"/>
            <w:right w:w="15" w:type="dxa"/>
          </w:tblCellMar>
        </w:tblPrEx>
        <w:trPr>
          <w:trHeight w:val="81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60</w:t>
            </w:r>
          </w:p>
        </w:tc>
        <w:tc>
          <w:tcPr>
            <w:tcW w:w="157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sz w:val="22"/>
                <w:szCs w:val="22"/>
              </w:rPr>
            </w:pPr>
            <w:r>
              <w:rPr>
                <w:rFonts w:hint="eastAsia" w:ascii="仿宋_GB2312"/>
                <w:sz w:val="22"/>
                <w:szCs w:val="22"/>
              </w:rPr>
              <w:t>积极推进交通生活源挥发性有机物减排</w:t>
            </w:r>
          </w:p>
        </w:tc>
        <w:tc>
          <w:tcPr>
            <w:tcW w:w="53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sz w:val="22"/>
                <w:szCs w:val="22"/>
              </w:rPr>
            </w:pPr>
            <w:r>
              <w:rPr>
                <w:rFonts w:hint="eastAsia" w:ascii="仿宋_GB2312"/>
                <w:sz w:val="22"/>
                <w:szCs w:val="22"/>
              </w:rPr>
              <w:t>2018年底前，全面供应符合国六标准的车用汽柴油，停止销售低于国六标准的汽柴油，实现车用柴油、普通柴油、部分船舶用油“三油并轨”。</w:t>
            </w:r>
          </w:p>
        </w:tc>
        <w:tc>
          <w:tcPr>
            <w:tcW w:w="3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eastAsia="仿宋"/>
                <w:color w:val="000000"/>
                <w:kern w:val="0"/>
                <w:sz w:val="22"/>
                <w:szCs w:val="22"/>
              </w:rPr>
              <w:t>区商务局</w:t>
            </w:r>
          </w:p>
        </w:tc>
        <w:tc>
          <w:tcPr>
            <w:tcW w:w="37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eastAsia="仿宋"/>
                <w:color w:val="000000"/>
                <w:kern w:val="0"/>
                <w:sz w:val="22"/>
                <w:szCs w:val="22"/>
              </w:rPr>
              <w:t>区财政局、区市场监管局</w:t>
            </w:r>
            <w:r>
              <w:rPr>
                <w:rFonts w:hint="eastAsia" w:eastAsia="仿宋"/>
                <w:color w:val="000000"/>
                <w:kern w:val="0"/>
                <w:sz w:val="22"/>
                <w:szCs w:val="22"/>
              </w:rPr>
              <w:t>、市生态环境局鹿城分局</w:t>
            </w:r>
            <w:r>
              <w:rPr>
                <w:rFonts w:eastAsia="仿宋"/>
                <w:color w:val="000000"/>
                <w:kern w:val="0"/>
                <w:sz w:val="22"/>
                <w:szCs w:val="22"/>
              </w:rPr>
              <w:t>、中石化温州分公司、中石油温州销售分公司</w:t>
            </w:r>
          </w:p>
        </w:tc>
      </w:tr>
      <w:tr>
        <w:tblPrEx>
          <w:tblCellMar>
            <w:top w:w="15" w:type="dxa"/>
            <w:left w:w="15" w:type="dxa"/>
            <w:bottom w:w="15" w:type="dxa"/>
            <w:right w:w="15" w:type="dxa"/>
          </w:tblCellMar>
        </w:tblPrEx>
        <w:trPr>
          <w:trHeight w:val="569"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61</w:t>
            </w:r>
          </w:p>
        </w:tc>
        <w:tc>
          <w:tcPr>
            <w:tcW w:w="15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sz w:val="22"/>
                <w:szCs w:val="22"/>
              </w:rPr>
            </w:pPr>
          </w:p>
        </w:tc>
        <w:tc>
          <w:tcPr>
            <w:tcW w:w="53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sz w:val="22"/>
                <w:szCs w:val="22"/>
              </w:rPr>
            </w:pPr>
            <w:r>
              <w:rPr>
                <w:rFonts w:hint="eastAsia" w:ascii="仿宋_GB2312"/>
                <w:sz w:val="22"/>
                <w:szCs w:val="22"/>
              </w:rPr>
              <w:t>落实国六标准车用汽柴油价格政策。</w:t>
            </w:r>
          </w:p>
        </w:tc>
        <w:tc>
          <w:tcPr>
            <w:tcW w:w="3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eastAsia="仿宋"/>
                <w:color w:val="000000"/>
                <w:kern w:val="0"/>
                <w:sz w:val="22"/>
                <w:szCs w:val="22"/>
              </w:rPr>
              <w:t>区发改局</w:t>
            </w:r>
          </w:p>
        </w:tc>
        <w:tc>
          <w:tcPr>
            <w:tcW w:w="37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eastAsia="仿宋"/>
                <w:color w:val="000000"/>
                <w:kern w:val="0"/>
                <w:sz w:val="22"/>
                <w:szCs w:val="22"/>
              </w:rPr>
              <w:t>中石化温州分公司、中石油温州销售分公司</w:t>
            </w:r>
          </w:p>
        </w:tc>
      </w:tr>
      <w:tr>
        <w:tblPrEx>
          <w:tblCellMar>
            <w:top w:w="15" w:type="dxa"/>
            <w:left w:w="15" w:type="dxa"/>
            <w:bottom w:w="15" w:type="dxa"/>
            <w:right w:w="15"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62</w:t>
            </w:r>
          </w:p>
        </w:tc>
        <w:tc>
          <w:tcPr>
            <w:tcW w:w="15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sz w:val="22"/>
                <w:szCs w:val="22"/>
              </w:rPr>
            </w:pPr>
          </w:p>
        </w:tc>
        <w:tc>
          <w:tcPr>
            <w:tcW w:w="53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sz w:val="22"/>
                <w:szCs w:val="22"/>
              </w:rPr>
            </w:pPr>
            <w:r>
              <w:rPr>
                <w:rFonts w:hint="eastAsia" w:ascii="仿宋_GB2312"/>
                <w:sz w:val="22"/>
                <w:szCs w:val="22"/>
              </w:rPr>
              <w:t>加强油品储运销管理，深化汽油储运销油气回收治理，推进港口储存和装卸、油品装船油气回收治理。</w:t>
            </w:r>
          </w:p>
        </w:tc>
        <w:tc>
          <w:tcPr>
            <w:tcW w:w="3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eastAsia="仿宋"/>
                <w:color w:val="000000"/>
                <w:kern w:val="0"/>
                <w:sz w:val="22"/>
                <w:szCs w:val="22"/>
              </w:rPr>
              <w:t>区商务局、</w:t>
            </w:r>
            <w:r>
              <w:rPr>
                <w:rFonts w:hint="eastAsia" w:eastAsia="仿宋"/>
                <w:color w:val="000000"/>
                <w:kern w:val="0"/>
                <w:sz w:val="22"/>
                <w:szCs w:val="22"/>
              </w:rPr>
              <w:t>区应急管理局、区交通运输局、市生态环境局鹿城分局</w:t>
            </w:r>
          </w:p>
        </w:tc>
        <w:tc>
          <w:tcPr>
            <w:tcW w:w="37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eastAsia="仿宋"/>
                <w:color w:val="000000" w:themeColor="text1"/>
                <w:kern w:val="0"/>
                <w:sz w:val="22"/>
                <w:szCs w:val="22"/>
              </w:rPr>
              <w:t>市运管稽查一大队</w:t>
            </w:r>
            <w:r>
              <w:rPr>
                <w:rFonts w:eastAsia="仿宋"/>
                <w:color w:val="000000"/>
                <w:kern w:val="0"/>
                <w:sz w:val="22"/>
                <w:szCs w:val="22"/>
              </w:rPr>
              <w:t>、中石化温州分公司、中石油温州销售分公司</w:t>
            </w:r>
          </w:p>
        </w:tc>
      </w:tr>
      <w:tr>
        <w:tblPrEx>
          <w:tblCellMar>
            <w:top w:w="15" w:type="dxa"/>
            <w:left w:w="15" w:type="dxa"/>
            <w:bottom w:w="15" w:type="dxa"/>
            <w:right w:w="15" w:type="dxa"/>
          </w:tblCellMar>
        </w:tblPrEx>
        <w:trPr>
          <w:trHeight w:val="1621"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hint="eastAsia" w:ascii="仿宋_GB2312"/>
                <w:sz w:val="22"/>
                <w:szCs w:val="22"/>
              </w:rPr>
              <w:t>63</w:t>
            </w:r>
          </w:p>
        </w:tc>
        <w:tc>
          <w:tcPr>
            <w:tcW w:w="15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仿宋"/>
                <w:color w:val="000000"/>
                <w:sz w:val="22"/>
                <w:szCs w:val="22"/>
              </w:rPr>
            </w:pPr>
          </w:p>
        </w:tc>
        <w:tc>
          <w:tcPr>
            <w:tcW w:w="53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仿宋"/>
                <w:color w:val="000000"/>
                <w:sz w:val="22"/>
                <w:szCs w:val="22"/>
              </w:rPr>
            </w:pPr>
            <w:r>
              <w:rPr>
                <w:rFonts w:eastAsia="仿宋"/>
                <w:color w:val="000000"/>
                <w:kern w:val="0"/>
                <w:sz w:val="22"/>
                <w:szCs w:val="22"/>
              </w:rPr>
              <w:t>加强建筑装饰、汽修、干洗等生活源挥发性有机物治理。汽修行业推广采用静电喷涂等高涂着效率的涂装工艺并做到密闭操作，实现达标</w:t>
            </w:r>
            <w:r>
              <w:rPr>
                <w:rFonts w:hint="eastAsia" w:ascii="仿宋_GB2312"/>
                <w:sz w:val="22"/>
                <w:szCs w:val="22"/>
              </w:rPr>
              <w:t>排放。到2020年，市区新建多层和高层住宅基本实现全装修，建筑内外墙装饰推广使用低（无）VOCs 含量的涂料。基本淘汰开启式干</w:t>
            </w:r>
            <w:r>
              <w:rPr>
                <w:rFonts w:eastAsia="仿宋"/>
                <w:color w:val="000000"/>
                <w:kern w:val="0"/>
                <w:sz w:val="22"/>
                <w:szCs w:val="22"/>
              </w:rPr>
              <w:t>洗机。</w:t>
            </w:r>
          </w:p>
        </w:tc>
        <w:tc>
          <w:tcPr>
            <w:tcW w:w="3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eastAsia="仿宋"/>
                <w:color w:val="000000"/>
                <w:kern w:val="0"/>
                <w:sz w:val="22"/>
                <w:szCs w:val="22"/>
              </w:rPr>
              <w:t>区住建局、</w:t>
            </w:r>
            <w:r>
              <w:rPr>
                <w:rFonts w:hint="eastAsia" w:eastAsia="仿宋"/>
                <w:color w:val="000000"/>
                <w:kern w:val="0"/>
                <w:sz w:val="22"/>
                <w:szCs w:val="22"/>
              </w:rPr>
              <w:t>市生态环境局鹿城分局</w:t>
            </w:r>
            <w:r>
              <w:rPr>
                <w:rFonts w:eastAsia="仿宋"/>
                <w:color w:val="000000"/>
                <w:kern w:val="0"/>
                <w:sz w:val="22"/>
                <w:szCs w:val="22"/>
              </w:rPr>
              <w:t>、区综合行政执法局</w:t>
            </w:r>
          </w:p>
        </w:tc>
        <w:tc>
          <w:tcPr>
            <w:tcW w:w="37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eastAsia="仿宋"/>
                <w:color w:val="000000"/>
                <w:kern w:val="0"/>
                <w:sz w:val="22"/>
                <w:szCs w:val="22"/>
              </w:rPr>
              <w:t>区市场监管局、</w:t>
            </w:r>
            <w:r>
              <w:rPr>
                <w:rFonts w:eastAsia="仿宋"/>
                <w:color w:val="000000" w:themeColor="text1"/>
                <w:kern w:val="0"/>
                <w:sz w:val="22"/>
                <w:szCs w:val="22"/>
              </w:rPr>
              <w:t>市运管稽查一大队</w:t>
            </w:r>
          </w:p>
        </w:tc>
      </w:tr>
      <w:tr>
        <w:tblPrEx>
          <w:tblCellMar>
            <w:top w:w="15" w:type="dxa"/>
            <w:left w:w="15" w:type="dxa"/>
            <w:bottom w:w="15" w:type="dxa"/>
            <w:right w:w="15" w:type="dxa"/>
          </w:tblCellMar>
        </w:tblPrEx>
        <w:trPr>
          <w:trHeight w:val="286" w:hRule="atLeast"/>
        </w:trPr>
        <w:tc>
          <w:tcPr>
            <w:tcW w:w="14880"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仿宋"/>
                <w:color w:val="000000"/>
                <w:sz w:val="22"/>
                <w:szCs w:val="22"/>
              </w:rPr>
            </w:pPr>
            <w:r>
              <w:rPr>
                <w:rFonts w:eastAsia="仿宋"/>
                <w:color w:val="000000"/>
                <w:kern w:val="0"/>
                <w:sz w:val="22"/>
                <w:szCs w:val="22"/>
              </w:rPr>
              <w:t>六、实施专项行动，推进破难攻坚</w:t>
            </w:r>
          </w:p>
        </w:tc>
      </w:tr>
      <w:tr>
        <w:tblPrEx>
          <w:tblCellMar>
            <w:top w:w="15" w:type="dxa"/>
            <w:left w:w="15" w:type="dxa"/>
            <w:bottom w:w="15" w:type="dxa"/>
            <w:right w:w="15"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64</w:t>
            </w:r>
          </w:p>
        </w:tc>
        <w:tc>
          <w:tcPr>
            <w:tcW w:w="157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eastAsia="仿宋"/>
                <w:color w:val="000000"/>
                <w:kern w:val="0"/>
                <w:sz w:val="22"/>
                <w:szCs w:val="22"/>
              </w:rPr>
              <w:t>开展秋冬季攻坚行动</w:t>
            </w:r>
          </w:p>
        </w:tc>
        <w:tc>
          <w:tcPr>
            <w:tcW w:w="53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仿宋"/>
                <w:color w:val="000000"/>
                <w:sz w:val="22"/>
                <w:szCs w:val="22"/>
              </w:rPr>
            </w:pPr>
            <w:r>
              <w:rPr>
                <w:rFonts w:eastAsia="仿宋"/>
                <w:color w:val="000000"/>
                <w:kern w:val="0"/>
                <w:sz w:val="22"/>
                <w:szCs w:val="22"/>
              </w:rPr>
              <w:t>制定实施秋冬季大气污染综合治理攻坚行动方案，明确攻坚目标和任务措施。</w:t>
            </w:r>
          </w:p>
        </w:tc>
        <w:tc>
          <w:tcPr>
            <w:tcW w:w="3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kern w:val="0"/>
                <w:sz w:val="22"/>
                <w:szCs w:val="22"/>
              </w:rPr>
            </w:pPr>
            <w:r>
              <w:rPr>
                <w:rFonts w:hint="eastAsia" w:eastAsia="仿宋"/>
                <w:color w:val="000000"/>
                <w:kern w:val="0"/>
                <w:sz w:val="22"/>
                <w:szCs w:val="22"/>
              </w:rPr>
              <w:t>市生态环境局鹿城分局</w:t>
            </w:r>
          </w:p>
        </w:tc>
        <w:tc>
          <w:tcPr>
            <w:tcW w:w="37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kern w:val="0"/>
                <w:sz w:val="22"/>
                <w:szCs w:val="22"/>
              </w:rPr>
            </w:pPr>
            <w:r>
              <w:rPr>
                <w:rFonts w:eastAsia="仿宋"/>
                <w:color w:val="000000"/>
                <w:kern w:val="0"/>
                <w:sz w:val="22"/>
                <w:szCs w:val="22"/>
              </w:rPr>
              <w:t>区发改局、</w:t>
            </w:r>
            <w:r>
              <w:rPr>
                <w:rFonts w:hint="eastAsia" w:eastAsia="仿宋"/>
                <w:color w:val="000000"/>
                <w:kern w:val="0"/>
                <w:sz w:val="22"/>
                <w:szCs w:val="22"/>
              </w:rPr>
              <w:t>区经信局</w:t>
            </w:r>
            <w:r>
              <w:rPr>
                <w:rFonts w:eastAsia="仿宋"/>
                <w:color w:val="000000"/>
                <w:kern w:val="0"/>
                <w:sz w:val="22"/>
                <w:szCs w:val="22"/>
              </w:rPr>
              <w:t>、区财政局、区住建局、区交通运输局、区综合行政执法局</w:t>
            </w:r>
          </w:p>
        </w:tc>
      </w:tr>
      <w:tr>
        <w:tblPrEx>
          <w:tblCellMar>
            <w:top w:w="15" w:type="dxa"/>
            <w:left w:w="15" w:type="dxa"/>
            <w:bottom w:w="15" w:type="dxa"/>
            <w:right w:w="15"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65</w:t>
            </w:r>
          </w:p>
        </w:tc>
        <w:tc>
          <w:tcPr>
            <w:tcW w:w="15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仿宋"/>
                <w:color w:val="000000"/>
                <w:sz w:val="22"/>
                <w:szCs w:val="22"/>
              </w:rPr>
            </w:pPr>
          </w:p>
        </w:tc>
        <w:tc>
          <w:tcPr>
            <w:tcW w:w="53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仿宋"/>
                <w:color w:val="000000"/>
                <w:sz w:val="22"/>
                <w:szCs w:val="22"/>
              </w:rPr>
            </w:pPr>
            <w:r>
              <w:rPr>
                <w:rFonts w:eastAsia="仿宋"/>
                <w:color w:val="000000"/>
                <w:kern w:val="0"/>
                <w:sz w:val="22"/>
                <w:szCs w:val="22"/>
              </w:rPr>
              <w:t>按照要求开展秋冬季重点行业错峰生产。</w:t>
            </w:r>
          </w:p>
        </w:tc>
        <w:tc>
          <w:tcPr>
            <w:tcW w:w="3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kern w:val="0"/>
                <w:sz w:val="22"/>
                <w:szCs w:val="22"/>
              </w:rPr>
            </w:pPr>
            <w:r>
              <w:rPr>
                <w:rFonts w:hint="eastAsia" w:eastAsia="仿宋"/>
                <w:color w:val="000000"/>
                <w:kern w:val="0"/>
                <w:sz w:val="22"/>
                <w:szCs w:val="22"/>
              </w:rPr>
              <w:t>市生态环境局鹿城分局</w:t>
            </w:r>
            <w:r>
              <w:rPr>
                <w:rFonts w:eastAsia="仿宋"/>
                <w:color w:val="000000"/>
                <w:kern w:val="0"/>
                <w:sz w:val="22"/>
                <w:szCs w:val="22"/>
              </w:rPr>
              <w:t>、</w:t>
            </w:r>
            <w:r>
              <w:rPr>
                <w:rFonts w:hint="eastAsia" w:eastAsia="仿宋"/>
                <w:color w:val="000000"/>
                <w:kern w:val="0"/>
                <w:sz w:val="22"/>
                <w:szCs w:val="22"/>
              </w:rPr>
              <w:t>区经信局</w:t>
            </w:r>
          </w:p>
        </w:tc>
        <w:tc>
          <w:tcPr>
            <w:tcW w:w="37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kern w:val="0"/>
                <w:sz w:val="22"/>
                <w:szCs w:val="22"/>
              </w:rPr>
            </w:pPr>
          </w:p>
        </w:tc>
      </w:tr>
      <w:tr>
        <w:tblPrEx>
          <w:tblCellMar>
            <w:top w:w="15" w:type="dxa"/>
            <w:left w:w="15" w:type="dxa"/>
            <w:bottom w:w="15" w:type="dxa"/>
            <w:right w:w="15" w:type="dxa"/>
          </w:tblCellMar>
        </w:tblPrEx>
        <w:trPr>
          <w:trHeight w:val="108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66</w:t>
            </w:r>
          </w:p>
        </w:tc>
        <w:tc>
          <w:tcPr>
            <w:tcW w:w="157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eastAsia="仿宋"/>
                <w:color w:val="000000"/>
                <w:kern w:val="0"/>
                <w:sz w:val="22"/>
                <w:szCs w:val="22"/>
              </w:rPr>
              <w:t>打好柴油货车污染治理攻坚战</w:t>
            </w:r>
          </w:p>
        </w:tc>
        <w:tc>
          <w:tcPr>
            <w:tcW w:w="53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仿宋"/>
                <w:color w:val="000000"/>
                <w:sz w:val="22"/>
                <w:szCs w:val="22"/>
              </w:rPr>
            </w:pPr>
            <w:r>
              <w:rPr>
                <w:rFonts w:eastAsia="仿宋"/>
                <w:color w:val="000000"/>
                <w:kern w:val="0"/>
                <w:sz w:val="22"/>
                <w:szCs w:val="22"/>
              </w:rPr>
              <w:t>制定柴油货车污染治理攻坚战行动方案，统筹油、路、车治理，实施清洁柴油车（机）、清洁运输和清洁油品行动，确保柴油货车污染排放总量明显下降。开展多部门联合执法专项行动。</w:t>
            </w:r>
          </w:p>
        </w:tc>
        <w:tc>
          <w:tcPr>
            <w:tcW w:w="3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hint="eastAsia" w:eastAsia="仿宋"/>
                <w:color w:val="000000"/>
                <w:kern w:val="0"/>
                <w:sz w:val="22"/>
                <w:szCs w:val="22"/>
              </w:rPr>
              <w:t>市生态环境局鹿城分局</w:t>
            </w:r>
            <w:r>
              <w:rPr>
                <w:rFonts w:eastAsia="仿宋"/>
                <w:color w:val="000000"/>
                <w:kern w:val="0"/>
                <w:sz w:val="22"/>
                <w:szCs w:val="22"/>
              </w:rPr>
              <w:t>、市交警支队一、二大队、</w:t>
            </w:r>
            <w:r>
              <w:rPr>
                <w:rFonts w:eastAsia="仿宋"/>
                <w:color w:val="000000" w:themeColor="text1"/>
                <w:kern w:val="0"/>
                <w:sz w:val="22"/>
                <w:szCs w:val="22"/>
              </w:rPr>
              <w:t>市运管稽查一大队</w:t>
            </w:r>
          </w:p>
        </w:tc>
        <w:tc>
          <w:tcPr>
            <w:tcW w:w="37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eastAsia="仿宋"/>
                <w:color w:val="000000"/>
                <w:kern w:val="0"/>
                <w:sz w:val="22"/>
                <w:szCs w:val="22"/>
              </w:rPr>
              <w:t>区发改局、区经信局、区财政局、区商务局、区市场监管局</w:t>
            </w:r>
          </w:p>
        </w:tc>
      </w:tr>
      <w:tr>
        <w:tblPrEx>
          <w:tblCellMar>
            <w:top w:w="15" w:type="dxa"/>
            <w:left w:w="15" w:type="dxa"/>
            <w:bottom w:w="15" w:type="dxa"/>
            <w:right w:w="15" w:type="dxa"/>
          </w:tblCellMar>
        </w:tblPrEx>
        <w:trPr>
          <w:trHeight w:val="81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67</w:t>
            </w:r>
          </w:p>
        </w:tc>
        <w:tc>
          <w:tcPr>
            <w:tcW w:w="15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仿宋"/>
                <w:color w:val="000000"/>
                <w:sz w:val="22"/>
                <w:szCs w:val="22"/>
              </w:rPr>
            </w:pPr>
          </w:p>
        </w:tc>
        <w:tc>
          <w:tcPr>
            <w:tcW w:w="53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仿宋"/>
                <w:color w:val="000000"/>
                <w:sz w:val="22"/>
                <w:szCs w:val="22"/>
              </w:rPr>
            </w:pPr>
            <w:r>
              <w:rPr>
                <w:rFonts w:eastAsia="仿宋"/>
                <w:color w:val="000000"/>
                <w:kern w:val="0"/>
                <w:sz w:val="22"/>
                <w:szCs w:val="22"/>
              </w:rPr>
              <w:t>加强柴油货车生产销售、注册使用、检验维修等环节的监督管理，建立天地车人一体化的全方位监控体系，实施在用汽车排放检测与强制维护制度。</w:t>
            </w:r>
          </w:p>
        </w:tc>
        <w:tc>
          <w:tcPr>
            <w:tcW w:w="3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hint="eastAsia" w:eastAsia="仿宋"/>
                <w:color w:val="000000"/>
                <w:kern w:val="0"/>
                <w:sz w:val="22"/>
                <w:szCs w:val="22"/>
              </w:rPr>
              <w:t>市生态环境局鹿城分局</w:t>
            </w:r>
            <w:r>
              <w:rPr>
                <w:rFonts w:eastAsia="仿宋"/>
                <w:color w:val="000000"/>
                <w:kern w:val="0"/>
                <w:sz w:val="22"/>
                <w:szCs w:val="22"/>
              </w:rPr>
              <w:t>、市交警支队一、二大队、</w:t>
            </w:r>
            <w:r>
              <w:rPr>
                <w:rFonts w:eastAsia="仿宋"/>
                <w:color w:val="000000" w:themeColor="text1"/>
                <w:kern w:val="0"/>
                <w:sz w:val="22"/>
                <w:szCs w:val="22"/>
              </w:rPr>
              <w:t>市运管稽查一大队</w:t>
            </w:r>
          </w:p>
        </w:tc>
        <w:tc>
          <w:tcPr>
            <w:tcW w:w="37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eastAsia="仿宋"/>
                <w:color w:val="000000"/>
                <w:kern w:val="0"/>
                <w:sz w:val="22"/>
                <w:szCs w:val="22"/>
              </w:rPr>
              <w:t>区经信局</w:t>
            </w:r>
          </w:p>
        </w:tc>
      </w:tr>
      <w:tr>
        <w:tblPrEx>
          <w:tblCellMar>
            <w:top w:w="15" w:type="dxa"/>
            <w:left w:w="15" w:type="dxa"/>
            <w:bottom w:w="15" w:type="dxa"/>
            <w:right w:w="15" w:type="dxa"/>
          </w:tblCellMar>
        </w:tblPrEx>
        <w:trPr>
          <w:trHeight w:val="81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68</w:t>
            </w:r>
          </w:p>
        </w:tc>
        <w:tc>
          <w:tcPr>
            <w:tcW w:w="15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仿宋"/>
                <w:color w:val="000000"/>
                <w:sz w:val="22"/>
                <w:szCs w:val="22"/>
              </w:rPr>
            </w:pPr>
            <w:r>
              <w:rPr>
                <w:rFonts w:eastAsia="仿宋"/>
                <w:color w:val="000000"/>
                <w:kern w:val="0"/>
                <w:sz w:val="22"/>
                <w:szCs w:val="22"/>
              </w:rPr>
              <w:t>开展工业炉窑整治专项行动</w:t>
            </w:r>
          </w:p>
        </w:tc>
        <w:tc>
          <w:tcPr>
            <w:tcW w:w="53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仿宋"/>
                <w:color w:val="000000"/>
                <w:sz w:val="22"/>
                <w:szCs w:val="22"/>
              </w:rPr>
            </w:pPr>
            <w:r>
              <w:rPr>
                <w:rFonts w:eastAsia="仿宋"/>
                <w:color w:val="000000"/>
                <w:kern w:val="0"/>
                <w:sz w:val="22"/>
                <w:szCs w:val="22"/>
              </w:rPr>
              <w:t>制定工业炉窑综合整治实施方案。开展拉网式排查，建立各类工业炉窑管理清单，按要求组织各类工业炉窑综合整治。</w:t>
            </w:r>
          </w:p>
        </w:tc>
        <w:tc>
          <w:tcPr>
            <w:tcW w:w="3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hint="eastAsia" w:eastAsia="仿宋"/>
                <w:color w:val="000000"/>
                <w:kern w:val="0"/>
                <w:sz w:val="22"/>
                <w:szCs w:val="22"/>
              </w:rPr>
              <w:t>市生态环境局鹿城分局</w:t>
            </w:r>
            <w:r>
              <w:rPr>
                <w:rFonts w:eastAsia="仿宋"/>
                <w:color w:val="000000"/>
                <w:kern w:val="0"/>
                <w:sz w:val="22"/>
                <w:szCs w:val="22"/>
              </w:rPr>
              <w:t>、区发改局</w:t>
            </w:r>
          </w:p>
        </w:tc>
        <w:tc>
          <w:tcPr>
            <w:tcW w:w="3719"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color w:val="000000"/>
                <w:sz w:val="22"/>
                <w:szCs w:val="22"/>
              </w:rPr>
            </w:pPr>
          </w:p>
        </w:tc>
      </w:tr>
      <w:tr>
        <w:tblPrEx>
          <w:tblCellMar>
            <w:top w:w="15" w:type="dxa"/>
            <w:left w:w="15" w:type="dxa"/>
            <w:bottom w:w="15" w:type="dxa"/>
            <w:right w:w="15" w:type="dxa"/>
          </w:tblCellMar>
        </w:tblPrEx>
        <w:trPr>
          <w:trHeight w:val="286"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69</w:t>
            </w:r>
          </w:p>
        </w:tc>
        <w:tc>
          <w:tcPr>
            <w:tcW w:w="157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eastAsia="仿宋"/>
                <w:color w:val="000000"/>
                <w:kern w:val="0"/>
                <w:sz w:val="22"/>
                <w:szCs w:val="22"/>
              </w:rPr>
              <w:t>推进重点领域臭气异味治理</w:t>
            </w:r>
          </w:p>
        </w:tc>
        <w:tc>
          <w:tcPr>
            <w:tcW w:w="53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仿宋"/>
                <w:color w:val="000000"/>
                <w:sz w:val="22"/>
                <w:szCs w:val="22"/>
              </w:rPr>
            </w:pPr>
            <w:r>
              <w:rPr>
                <w:rFonts w:eastAsia="仿宋"/>
                <w:color w:val="000000"/>
                <w:kern w:val="0"/>
                <w:sz w:val="22"/>
                <w:szCs w:val="22"/>
              </w:rPr>
              <w:t>加强工业臭气异味治理。</w:t>
            </w:r>
          </w:p>
        </w:tc>
        <w:tc>
          <w:tcPr>
            <w:tcW w:w="3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hint="eastAsia" w:eastAsia="仿宋"/>
                <w:color w:val="000000"/>
                <w:kern w:val="0"/>
                <w:sz w:val="22"/>
                <w:szCs w:val="22"/>
              </w:rPr>
              <w:t>市生态环境局鹿城分局</w:t>
            </w:r>
          </w:p>
        </w:tc>
        <w:tc>
          <w:tcPr>
            <w:tcW w:w="37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eastAsia="仿宋"/>
                <w:color w:val="000000"/>
                <w:kern w:val="0"/>
                <w:sz w:val="22"/>
                <w:szCs w:val="22"/>
              </w:rPr>
              <w:t>区经信局</w:t>
            </w:r>
          </w:p>
        </w:tc>
      </w:tr>
      <w:tr>
        <w:tblPrEx>
          <w:tblCellMar>
            <w:top w:w="15" w:type="dxa"/>
            <w:left w:w="15" w:type="dxa"/>
            <w:bottom w:w="15" w:type="dxa"/>
            <w:right w:w="15" w:type="dxa"/>
          </w:tblCellMar>
        </w:tblPrEx>
        <w:trPr>
          <w:trHeight w:val="81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70</w:t>
            </w:r>
          </w:p>
        </w:tc>
        <w:tc>
          <w:tcPr>
            <w:tcW w:w="15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p>
        </w:tc>
        <w:tc>
          <w:tcPr>
            <w:tcW w:w="53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sz w:val="22"/>
                <w:szCs w:val="22"/>
              </w:rPr>
            </w:pPr>
            <w:r>
              <w:rPr>
                <w:rFonts w:hint="eastAsia" w:ascii="仿宋_GB2312"/>
                <w:sz w:val="22"/>
                <w:szCs w:val="22"/>
              </w:rPr>
              <w:t>加强城镇生活垃圾废物臭气处理。采取有效防臭除臭措施，提升垃圾处理各环节恶臭治理水平，加强城镇污水处理厂和泵站臭气异味控制。</w:t>
            </w:r>
          </w:p>
        </w:tc>
        <w:tc>
          <w:tcPr>
            <w:tcW w:w="3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eastAsia="仿宋"/>
                <w:color w:val="000000"/>
                <w:kern w:val="0"/>
                <w:sz w:val="22"/>
                <w:szCs w:val="22"/>
              </w:rPr>
              <w:t>区综合行政执法局</w:t>
            </w:r>
          </w:p>
        </w:tc>
        <w:tc>
          <w:tcPr>
            <w:tcW w:w="37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hint="eastAsia" w:eastAsia="仿宋"/>
                <w:color w:val="000000"/>
                <w:kern w:val="0"/>
                <w:sz w:val="22"/>
                <w:szCs w:val="22"/>
              </w:rPr>
              <w:t>市生态环境局鹿城分局</w:t>
            </w:r>
          </w:p>
        </w:tc>
      </w:tr>
      <w:tr>
        <w:tblPrEx>
          <w:tblCellMar>
            <w:top w:w="15" w:type="dxa"/>
            <w:left w:w="15" w:type="dxa"/>
            <w:bottom w:w="15" w:type="dxa"/>
            <w:right w:w="15" w:type="dxa"/>
          </w:tblCellMar>
        </w:tblPrEx>
        <w:trPr>
          <w:trHeight w:val="81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71</w:t>
            </w:r>
          </w:p>
        </w:tc>
        <w:tc>
          <w:tcPr>
            <w:tcW w:w="15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p>
        </w:tc>
        <w:tc>
          <w:tcPr>
            <w:tcW w:w="53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sz w:val="22"/>
                <w:szCs w:val="22"/>
              </w:rPr>
            </w:pPr>
            <w:r>
              <w:rPr>
                <w:rFonts w:hint="eastAsia" w:ascii="仿宋_GB2312"/>
                <w:sz w:val="22"/>
                <w:szCs w:val="22"/>
              </w:rPr>
              <w:t>严格控制餐饮油烟，加大超标排放处罚力度，加强规划布局，新建小区需配套设置满足生活需求的餐饮功能用房。</w:t>
            </w:r>
          </w:p>
        </w:tc>
        <w:tc>
          <w:tcPr>
            <w:tcW w:w="3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eastAsia="仿宋"/>
                <w:color w:val="000000"/>
                <w:kern w:val="0"/>
                <w:sz w:val="22"/>
                <w:szCs w:val="22"/>
              </w:rPr>
              <w:t>区综合行政执法局</w:t>
            </w:r>
          </w:p>
        </w:tc>
        <w:tc>
          <w:tcPr>
            <w:tcW w:w="37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eastAsia="仿宋"/>
                <w:color w:val="000000"/>
                <w:kern w:val="0"/>
                <w:sz w:val="22"/>
                <w:szCs w:val="22"/>
              </w:rPr>
              <w:t>区市场监管局</w:t>
            </w:r>
            <w:r>
              <w:rPr>
                <w:rFonts w:hint="eastAsia" w:eastAsia="仿宋"/>
                <w:color w:val="000000"/>
                <w:kern w:val="0"/>
                <w:sz w:val="22"/>
                <w:szCs w:val="22"/>
              </w:rPr>
              <w:t>、市生态环境局鹿城分局</w:t>
            </w:r>
          </w:p>
        </w:tc>
      </w:tr>
      <w:tr>
        <w:tblPrEx>
          <w:tblCellMar>
            <w:top w:w="15" w:type="dxa"/>
            <w:left w:w="15" w:type="dxa"/>
            <w:bottom w:w="15" w:type="dxa"/>
            <w:right w:w="15" w:type="dxa"/>
          </w:tblCellMar>
        </w:tblPrEx>
        <w:trPr>
          <w:trHeight w:val="286" w:hRule="atLeast"/>
        </w:trPr>
        <w:tc>
          <w:tcPr>
            <w:tcW w:w="14880"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sz w:val="22"/>
                <w:szCs w:val="22"/>
              </w:rPr>
            </w:pPr>
            <w:r>
              <w:rPr>
                <w:rFonts w:hint="eastAsia" w:ascii="仿宋_GB2312"/>
                <w:sz w:val="22"/>
                <w:szCs w:val="22"/>
              </w:rPr>
              <w:t>七、加强应急协作，推进联防联控</w:t>
            </w:r>
          </w:p>
        </w:tc>
      </w:tr>
      <w:tr>
        <w:tblPrEx>
          <w:tblCellMar>
            <w:top w:w="15" w:type="dxa"/>
            <w:left w:w="15" w:type="dxa"/>
            <w:bottom w:w="15" w:type="dxa"/>
            <w:right w:w="15" w:type="dxa"/>
          </w:tblCellMar>
        </w:tblPrEx>
        <w:trPr>
          <w:trHeight w:val="108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72</w:t>
            </w:r>
          </w:p>
        </w:tc>
        <w:tc>
          <w:tcPr>
            <w:tcW w:w="15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积极参与长三角区域大气污染协作</w:t>
            </w:r>
          </w:p>
        </w:tc>
        <w:tc>
          <w:tcPr>
            <w:tcW w:w="53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sz w:val="22"/>
                <w:szCs w:val="22"/>
              </w:rPr>
            </w:pPr>
            <w:r>
              <w:rPr>
                <w:rFonts w:hint="eastAsia" w:ascii="仿宋_GB2312"/>
                <w:sz w:val="22"/>
                <w:szCs w:val="22"/>
              </w:rPr>
              <w:t>强化区域大气污染联防联控，落实长三角区域大气污染防治实施方案、年度计划、目标、重大措施等，积极参与长三角区域在环境政策、标准、监测、执法、科研和重污染天气联合应对等方面的协作。</w:t>
            </w:r>
          </w:p>
        </w:tc>
        <w:tc>
          <w:tcPr>
            <w:tcW w:w="3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hint="eastAsia" w:eastAsia="仿宋"/>
                <w:color w:val="000000"/>
                <w:kern w:val="0"/>
                <w:sz w:val="22"/>
                <w:szCs w:val="22"/>
              </w:rPr>
              <w:t>市生态环境局鹿城分局</w:t>
            </w:r>
          </w:p>
        </w:tc>
        <w:tc>
          <w:tcPr>
            <w:tcW w:w="37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eastAsia="仿宋"/>
                <w:color w:val="000000"/>
                <w:kern w:val="0"/>
                <w:sz w:val="22"/>
                <w:szCs w:val="22"/>
              </w:rPr>
              <w:t>区级有关部门</w:t>
            </w:r>
          </w:p>
        </w:tc>
      </w:tr>
      <w:tr>
        <w:tblPrEx>
          <w:tblCellMar>
            <w:top w:w="15" w:type="dxa"/>
            <w:left w:w="15" w:type="dxa"/>
            <w:bottom w:w="15" w:type="dxa"/>
            <w:right w:w="15" w:type="dxa"/>
          </w:tblCellMar>
        </w:tblPrEx>
        <w:trPr>
          <w:trHeight w:val="81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73</w:t>
            </w:r>
          </w:p>
        </w:tc>
        <w:tc>
          <w:tcPr>
            <w:tcW w:w="15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加强重污染天气应急联动</w:t>
            </w:r>
          </w:p>
        </w:tc>
        <w:tc>
          <w:tcPr>
            <w:tcW w:w="53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sz w:val="22"/>
                <w:szCs w:val="22"/>
              </w:rPr>
            </w:pPr>
            <w:r>
              <w:rPr>
                <w:rFonts w:hint="eastAsia" w:ascii="仿宋_GB2312"/>
                <w:sz w:val="22"/>
                <w:szCs w:val="22"/>
              </w:rPr>
              <w:t>落实长三角区域应急预警标准，按照统一发布的预警信息，按级别启动应急响应措施，实施区域应急联动。</w:t>
            </w:r>
          </w:p>
        </w:tc>
        <w:tc>
          <w:tcPr>
            <w:tcW w:w="3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hint="eastAsia" w:eastAsia="仿宋"/>
                <w:color w:val="000000"/>
                <w:kern w:val="0"/>
                <w:sz w:val="22"/>
                <w:szCs w:val="22"/>
              </w:rPr>
              <w:t>市生态环境局鹿城分局</w:t>
            </w:r>
          </w:p>
        </w:tc>
        <w:tc>
          <w:tcPr>
            <w:tcW w:w="3719"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color w:val="000000"/>
                <w:sz w:val="22"/>
                <w:szCs w:val="22"/>
              </w:rPr>
            </w:pPr>
            <w:r>
              <w:rPr>
                <w:rFonts w:eastAsia="仿宋"/>
                <w:color w:val="000000"/>
                <w:sz w:val="22"/>
                <w:szCs w:val="22"/>
              </w:rPr>
              <w:t>各有关部门</w:t>
            </w:r>
          </w:p>
        </w:tc>
      </w:tr>
      <w:tr>
        <w:tblPrEx>
          <w:tblCellMar>
            <w:top w:w="15" w:type="dxa"/>
            <w:left w:w="15" w:type="dxa"/>
            <w:bottom w:w="15" w:type="dxa"/>
            <w:right w:w="15" w:type="dxa"/>
          </w:tblCellMar>
        </w:tblPrEx>
        <w:trPr>
          <w:trHeight w:val="286" w:hRule="atLeast"/>
        </w:trPr>
        <w:tc>
          <w:tcPr>
            <w:tcW w:w="14880"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sz w:val="22"/>
                <w:szCs w:val="22"/>
              </w:rPr>
            </w:pPr>
            <w:r>
              <w:rPr>
                <w:rFonts w:hint="eastAsia" w:ascii="仿宋_GB2312"/>
                <w:sz w:val="22"/>
                <w:szCs w:val="22"/>
              </w:rPr>
              <w:t>八、健全监管体系，推进机制创新</w:t>
            </w:r>
          </w:p>
        </w:tc>
      </w:tr>
      <w:tr>
        <w:tblPrEx>
          <w:tblCellMar>
            <w:top w:w="15" w:type="dxa"/>
            <w:left w:w="15" w:type="dxa"/>
            <w:bottom w:w="15" w:type="dxa"/>
            <w:right w:w="15" w:type="dxa"/>
          </w:tblCellMar>
        </w:tblPrEx>
        <w:trPr>
          <w:trHeight w:val="81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74</w:t>
            </w:r>
          </w:p>
        </w:tc>
        <w:tc>
          <w:tcPr>
            <w:tcW w:w="157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完善大气监测监控体系</w:t>
            </w:r>
          </w:p>
        </w:tc>
        <w:tc>
          <w:tcPr>
            <w:tcW w:w="53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sz w:val="22"/>
                <w:szCs w:val="22"/>
              </w:rPr>
            </w:pPr>
            <w:r>
              <w:rPr>
                <w:rFonts w:hint="eastAsia" w:ascii="仿宋_GB2312"/>
                <w:sz w:val="22"/>
                <w:szCs w:val="22"/>
              </w:rPr>
              <w:t>开展清新空气（负氧离子）与挥发性有机物（VOCs）监测与评价。2018年底前，建成2个清新空气监测点和在时尚制造区建成1个挥发性有机物监测点。</w:t>
            </w:r>
          </w:p>
        </w:tc>
        <w:tc>
          <w:tcPr>
            <w:tcW w:w="3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hint="eastAsia" w:eastAsia="仿宋"/>
                <w:color w:val="000000"/>
                <w:kern w:val="0"/>
                <w:sz w:val="22"/>
                <w:szCs w:val="22"/>
              </w:rPr>
              <w:t>市生态环境局鹿城分局</w:t>
            </w:r>
          </w:p>
        </w:tc>
        <w:tc>
          <w:tcPr>
            <w:tcW w:w="37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eastAsia="仿宋"/>
                <w:color w:val="000000"/>
                <w:kern w:val="0"/>
                <w:sz w:val="22"/>
                <w:szCs w:val="22"/>
              </w:rPr>
              <w:t>区财政局</w:t>
            </w:r>
          </w:p>
        </w:tc>
      </w:tr>
      <w:tr>
        <w:tblPrEx>
          <w:tblCellMar>
            <w:top w:w="15" w:type="dxa"/>
            <w:left w:w="15" w:type="dxa"/>
            <w:bottom w:w="15" w:type="dxa"/>
            <w:right w:w="15" w:type="dxa"/>
          </w:tblCellMar>
        </w:tblPrEx>
        <w:trPr>
          <w:trHeight w:val="81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75</w:t>
            </w:r>
          </w:p>
        </w:tc>
        <w:tc>
          <w:tcPr>
            <w:tcW w:w="15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p>
        </w:tc>
        <w:tc>
          <w:tcPr>
            <w:tcW w:w="53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sz w:val="22"/>
                <w:szCs w:val="22"/>
              </w:rPr>
            </w:pPr>
            <w:r>
              <w:rPr>
                <w:rFonts w:hint="eastAsia" w:ascii="仿宋_GB2312"/>
                <w:sz w:val="22"/>
                <w:szCs w:val="22"/>
              </w:rPr>
              <w:t>2019 年底前，高架源和挥发性有机物排放重点源，纳入重点排污单位名录，基本完成烟气排放自动监控设施安装。</w:t>
            </w:r>
          </w:p>
        </w:tc>
        <w:tc>
          <w:tcPr>
            <w:tcW w:w="3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hint="eastAsia" w:eastAsia="仿宋"/>
                <w:color w:val="000000"/>
                <w:kern w:val="0"/>
                <w:sz w:val="22"/>
                <w:szCs w:val="22"/>
              </w:rPr>
              <w:t>市生态环境局鹿城分局</w:t>
            </w:r>
          </w:p>
        </w:tc>
        <w:tc>
          <w:tcPr>
            <w:tcW w:w="3719"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color w:val="000000"/>
                <w:sz w:val="22"/>
                <w:szCs w:val="22"/>
              </w:rPr>
            </w:pPr>
          </w:p>
        </w:tc>
      </w:tr>
      <w:tr>
        <w:tblPrEx>
          <w:tblCellMar>
            <w:top w:w="15" w:type="dxa"/>
            <w:left w:w="15" w:type="dxa"/>
            <w:bottom w:w="15" w:type="dxa"/>
            <w:right w:w="15" w:type="dxa"/>
          </w:tblCellMar>
        </w:tblPrEx>
        <w:trPr>
          <w:trHeight w:val="435"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76</w:t>
            </w:r>
          </w:p>
        </w:tc>
        <w:tc>
          <w:tcPr>
            <w:tcW w:w="15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p>
        </w:tc>
        <w:tc>
          <w:tcPr>
            <w:tcW w:w="53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sz w:val="22"/>
                <w:szCs w:val="22"/>
              </w:rPr>
            </w:pPr>
            <w:r>
              <w:rPr>
                <w:rFonts w:hint="eastAsia" w:ascii="仿宋_GB2312"/>
                <w:sz w:val="22"/>
                <w:szCs w:val="22"/>
              </w:rPr>
              <w:t>强化监测数据质量控制。</w:t>
            </w:r>
          </w:p>
        </w:tc>
        <w:tc>
          <w:tcPr>
            <w:tcW w:w="3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hint="eastAsia" w:eastAsia="仿宋"/>
                <w:color w:val="000000"/>
                <w:kern w:val="0"/>
                <w:sz w:val="22"/>
                <w:szCs w:val="22"/>
              </w:rPr>
              <w:t>市生态环境局鹿城分局</w:t>
            </w:r>
          </w:p>
        </w:tc>
        <w:tc>
          <w:tcPr>
            <w:tcW w:w="3719"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color w:val="000000"/>
                <w:sz w:val="22"/>
                <w:szCs w:val="22"/>
              </w:rPr>
            </w:pPr>
          </w:p>
        </w:tc>
      </w:tr>
      <w:tr>
        <w:tblPrEx>
          <w:tblCellMar>
            <w:top w:w="15" w:type="dxa"/>
            <w:left w:w="15" w:type="dxa"/>
            <w:bottom w:w="15" w:type="dxa"/>
            <w:right w:w="15" w:type="dxa"/>
          </w:tblCellMar>
        </w:tblPrEx>
        <w:trPr>
          <w:trHeight w:val="1351"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77</w:t>
            </w:r>
          </w:p>
        </w:tc>
        <w:tc>
          <w:tcPr>
            <w:tcW w:w="157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eastAsia="仿宋"/>
                <w:color w:val="000000"/>
                <w:kern w:val="0"/>
                <w:sz w:val="22"/>
                <w:szCs w:val="22"/>
              </w:rPr>
              <w:t>完善大气执法监管体系</w:t>
            </w:r>
          </w:p>
        </w:tc>
        <w:tc>
          <w:tcPr>
            <w:tcW w:w="53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仿宋"/>
                <w:color w:val="000000"/>
                <w:sz w:val="22"/>
                <w:szCs w:val="22"/>
              </w:rPr>
            </w:pPr>
            <w:r>
              <w:rPr>
                <w:rFonts w:eastAsia="仿宋"/>
                <w:color w:val="000000"/>
                <w:kern w:val="0"/>
                <w:sz w:val="22"/>
                <w:szCs w:val="22"/>
              </w:rPr>
              <w:t>加大环境执法力度，强化排污者责任。开展大气污染热点网格监管，加强工业炉窑排放、工业无组织排放、挥发性有机物污染治理等环境执法，严厉打击“散乱污”企业。加强生态环境执法与刑事司法衔接，推进区环保部门与公检法联络机构的全覆盖。</w:t>
            </w:r>
          </w:p>
        </w:tc>
        <w:tc>
          <w:tcPr>
            <w:tcW w:w="3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hint="eastAsia" w:eastAsia="仿宋"/>
                <w:color w:val="000000"/>
                <w:kern w:val="0"/>
                <w:sz w:val="22"/>
                <w:szCs w:val="22"/>
              </w:rPr>
              <w:t>市生态环境局鹿城分局</w:t>
            </w:r>
          </w:p>
        </w:tc>
        <w:tc>
          <w:tcPr>
            <w:tcW w:w="37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eastAsia="仿宋"/>
                <w:color w:val="000000"/>
                <w:kern w:val="0"/>
                <w:sz w:val="22"/>
                <w:szCs w:val="22"/>
              </w:rPr>
              <w:t>区法院、区检察院、区公安分局、区财政局</w:t>
            </w:r>
          </w:p>
        </w:tc>
      </w:tr>
      <w:tr>
        <w:tblPrEx>
          <w:tblCellMar>
            <w:top w:w="15" w:type="dxa"/>
            <w:left w:w="15" w:type="dxa"/>
            <w:bottom w:w="15" w:type="dxa"/>
            <w:right w:w="15" w:type="dxa"/>
          </w:tblCellMar>
        </w:tblPrEx>
        <w:trPr>
          <w:trHeight w:val="286"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78</w:t>
            </w:r>
          </w:p>
        </w:tc>
        <w:tc>
          <w:tcPr>
            <w:tcW w:w="15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仿宋"/>
                <w:color w:val="000000"/>
                <w:sz w:val="22"/>
                <w:szCs w:val="22"/>
              </w:rPr>
            </w:pPr>
          </w:p>
        </w:tc>
        <w:tc>
          <w:tcPr>
            <w:tcW w:w="53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仿宋"/>
                <w:color w:val="000000"/>
                <w:sz w:val="22"/>
                <w:szCs w:val="22"/>
              </w:rPr>
            </w:pPr>
            <w:r>
              <w:rPr>
                <w:rFonts w:eastAsia="仿宋"/>
                <w:color w:val="000000"/>
                <w:kern w:val="0"/>
                <w:sz w:val="22"/>
                <w:szCs w:val="22"/>
              </w:rPr>
              <w:t>完善涉大气环境资源司法保护机制。</w:t>
            </w:r>
          </w:p>
        </w:tc>
        <w:tc>
          <w:tcPr>
            <w:tcW w:w="3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hint="eastAsia" w:eastAsia="仿宋"/>
                <w:color w:val="000000"/>
                <w:kern w:val="0"/>
                <w:sz w:val="22"/>
                <w:szCs w:val="22"/>
              </w:rPr>
              <w:t>区法院</w:t>
            </w:r>
          </w:p>
        </w:tc>
        <w:tc>
          <w:tcPr>
            <w:tcW w:w="3719"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color w:val="000000"/>
                <w:sz w:val="22"/>
                <w:szCs w:val="22"/>
              </w:rPr>
            </w:pPr>
          </w:p>
        </w:tc>
      </w:tr>
      <w:tr>
        <w:tblPrEx>
          <w:tblCellMar>
            <w:top w:w="15" w:type="dxa"/>
            <w:left w:w="15" w:type="dxa"/>
            <w:bottom w:w="15" w:type="dxa"/>
            <w:right w:w="15"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79</w:t>
            </w:r>
          </w:p>
        </w:tc>
        <w:tc>
          <w:tcPr>
            <w:tcW w:w="15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仿宋"/>
                <w:color w:val="000000"/>
                <w:sz w:val="22"/>
                <w:szCs w:val="22"/>
              </w:rPr>
            </w:pPr>
          </w:p>
        </w:tc>
        <w:tc>
          <w:tcPr>
            <w:tcW w:w="53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仿宋"/>
                <w:color w:val="000000"/>
                <w:sz w:val="22"/>
                <w:szCs w:val="22"/>
              </w:rPr>
            </w:pPr>
            <w:r>
              <w:rPr>
                <w:rFonts w:eastAsia="仿宋"/>
                <w:color w:val="000000"/>
                <w:kern w:val="0"/>
                <w:sz w:val="22"/>
                <w:szCs w:val="22"/>
              </w:rPr>
              <w:t>严厉打击生产销售排放不合格机动车和违反信息公开要求的行为。</w:t>
            </w:r>
          </w:p>
        </w:tc>
        <w:tc>
          <w:tcPr>
            <w:tcW w:w="3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hint="eastAsia" w:eastAsia="仿宋"/>
                <w:color w:val="000000"/>
                <w:kern w:val="0"/>
                <w:sz w:val="22"/>
                <w:szCs w:val="22"/>
              </w:rPr>
              <w:t>市生态环境局鹿城分局</w:t>
            </w:r>
            <w:r>
              <w:rPr>
                <w:rFonts w:eastAsia="仿宋"/>
                <w:color w:val="000000"/>
                <w:kern w:val="0"/>
                <w:sz w:val="22"/>
                <w:szCs w:val="22"/>
              </w:rPr>
              <w:t>、区经信局、区市场监管局</w:t>
            </w:r>
          </w:p>
        </w:tc>
        <w:tc>
          <w:tcPr>
            <w:tcW w:w="3719"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color w:val="000000"/>
                <w:sz w:val="22"/>
                <w:szCs w:val="22"/>
              </w:rPr>
            </w:pPr>
          </w:p>
        </w:tc>
      </w:tr>
      <w:tr>
        <w:tblPrEx>
          <w:tblCellMar>
            <w:top w:w="15" w:type="dxa"/>
            <w:left w:w="15" w:type="dxa"/>
            <w:bottom w:w="15" w:type="dxa"/>
            <w:right w:w="15" w:type="dxa"/>
          </w:tblCellMar>
        </w:tblPrEx>
        <w:trPr>
          <w:trHeight w:val="81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80</w:t>
            </w:r>
          </w:p>
        </w:tc>
        <w:tc>
          <w:tcPr>
            <w:tcW w:w="15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仿宋"/>
                <w:color w:val="000000"/>
                <w:sz w:val="22"/>
                <w:szCs w:val="22"/>
              </w:rPr>
            </w:pPr>
          </w:p>
        </w:tc>
        <w:tc>
          <w:tcPr>
            <w:tcW w:w="53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仿宋"/>
                <w:color w:val="000000"/>
                <w:sz w:val="22"/>
                <w:szCs w:val="22"/>
              </w:rPr>
            </w:pPr>
            <w:r>
              <w:rPr>
                <w:rFonts w:eastAsia="仿宋"/>
                <w:color w:val="000000"/>
                <w:kern w:val="0"/>
                <w:sz w:val="22"/>
                <w:szCs w:val="22"/>
              </w:rPr>
              <w:t>开展在用车超标排放联合执法，建立完善环境部门检测、公安部门处罚、交通运输部门监督维修的联合监管机制。</w:t>
            </w:r>
          </w:p>
        </w:tc>
        <w:tc>
          <w:tcPr>
            <w:tcW w:w="3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hint="eastAsia" w:eastAsia="仿宋"/>
                <w:color w:val="000000"/>
                <w:kern w:val="0"/>
                <w:sz w:val="22"/>
                <w:szCs w:val="22"/>
              </w:rPr>
              <w:t>市生态环境局鹿城分局</w:t>
            </w:r>
            <w:r>
              <w:rPr>
                <w:rFonts w:eastAsia="仿宋"/>
                <w:color w:val="000000"/>
                <w:kern w:val="0"/>
                <w:sz w:val="22"/>
                <w:szCs w:val="22"/>
              </w:rPr>
              <w:t>、市交警支队一、二大队、</w:t>
            </w:r>
            <w:r>
              <w:rPr>
                <w:rFonts w:eastAsia="仿宋"/>
                <w:color w:val="000000" w:themeColor="text1"/>
                <w:kern w:val="0"/>
                <w:sz w:val="22"/>
                <w:szCs w:val="22"/>
              </w:rPr>
              <w:t>市运管稽查一大队</w:t>
            </w:r>
          </w:p>
        </w:tc>
        <w:tc>
          <w:tcPr>
            <w:tcW w:w="3719"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color w:val="000000"/>
                <w:sz w:val="22"/>
                <w:szCs w:val="22"/>
              </w:rPr>
            </w:pPr>
          </w:p>
        </w:tc>
      </w:tr>
      <w:tr>
        <w:tblPrEx>
          <w:tblCellMar>
            <w:top w:w="15" w:type="dxa"/>
            <w:left w:w="15" w:type="dxa"/>
            <w:bottom w:w="15" w:type="dxa"/>
            <w:right w:w="15"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81</w:t>
            </w:r>
          </w:p>
        </w:tc>
        <w:tc>
          <w:tcPr>
            <w:tcW w:w="15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仿宋"/>
                <w:color w:val="000000"/>
                <w:sz w:val="22"/>
                <w:szCs w:val="22"/>
              </w:rPr>
            </w:pPr>
          </w:p>
        </w:tc>
        <w:tc>
          <w:tcPr>
            <w:tcW w:w="53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仿宋"/>
                <w:color w:val="000000"/>
                <w:sz w:val="22"/>
                <w:szCs w:val="22"/>
              </w:rPr>
            </w:pPr>
            <w:r>
              <w:rPr>
                <w:rFonts w:eastAsia="仿宋"/>
                <w:color w:val="000000"/>
                <w:kern w:val="0"/>
                <w:sz w:val="22"/>
                <w:szCs w:val="22"/>
              </w:rPr>
              <w:t>严厉打击机动车排放检验机构尾气检测弄虚作假、屏蔽和修改车辆环保监控参数等违法行为。</w:t>
            </w:r>
          </w:p>
        </w:tc>
        <w:tc>
          <w:tcPr>
            <w:tcW w:w="3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hint="eastAsia" w:eastAsia="仿宋"/>
                <w:color w:val="000000"/>
                <w:kern w:val="0"/>
                <w:sz w:val="22"/>
                <w:szCs w:val="22"/>
              </w:rPr>
              <w:t>市生态环境局鹿城分局</w:t>
            </w:r>
            <w:r>
              <w:rPr>
                <w:rFonts w:eastAsia="仿宋"/>
                <w:color w:val="000000"/>
                <w:kern w:val="0"/>
                <w:sz w:val="22"/>
                <w:szCs w:val="22"/>
              </w:rPr>
              <w:t>、市交警支队一、二大队、</w:t>
            </w:r>
            <w:r>
              <w:rPr>
                <w:rFonts w:eastAsia="仿宋"/>
                <w:color w:val="000000" w:themeColor="text1"/>
                <w:kern w:val="0"/>
                <w:sz w:val="22"/>
                <w:szCs w:val="22"/>
              </w:rPr>
              <w:t>市运管稽查一大队</w:t>
            </w:r>
          </w:p>
        </w:tc>
        <w:tc>
          <w:tcPr>
            <w:tcW w:w="3719"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color w:val="000000"/>
                <w:sz w:val="22"/>
                <w:szCs w:val="22"/>
              </w:rPr>
            </w:pPr>
          </w:p>
        </w:tc>
      </w:tr>
      <w:tr>
        <w:tblPrEx>
          <w:tblCellMar>
            <w:top w:w="15" w:type="dxa"/>
            <w:left w:w="15" w:type="dxa"/>
            <w:bottom w:w="15" w:type="dxa"/>
            <w:right w:w="15" w:type="dxa"/>
          </w:tblCellMar>
        </w:tblPrEx>
        <w:trPr>
          <w:trHeight w:val="1351"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82</w:t>
            </w:r>
          </w:p>
        </w:tc>
        <w:tc>
          <w:tcPr>
            <w:tcW w:w="15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仿宋"/>
                <w:color w:val="000000"/>
                <w:sz w:val="22"/>
                <w:szCs w:val="22"/>
              </w:rPr>
            </w:pPr>
          </w:p>
        </w:tc>
        <w:tc>
          <w:tcPr>
            <w:tcW w:w="53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仿宋"/>
                <w:color w:val="000000"/>
                <w:sz w:val="22"/>
                <w:szCs w:val="22"/>
              </w:rPr>
            </w:pPr>
            <w:r>
              <w:rPr>
                <w:rFonts w:eastAsia="仿宋"/>
                <w:color w:val="000000"/>
                <w:kern w:val="0"/>
                <w:sz w:val="22"/>
                <w:szCs w:val="22"/>
              </w:rPr>
              <w:t>加强对油品制售企业的质量监督管理，严厉打击生产、销售、使用不合格油品和车用尿素行为，禁止以化工原料名义出售调和油组分，禁止以化工原料勾兑调和油，严禁运输企业储存使用非标油，坚决取缔黑加油站点。</w:t>
            </w:r>
          </w:p>
        </w:tc>
        <w:tc>
          <w:tcPr>
            <w:tcW w:w="3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hint="eastAsia" w:eastAsia="仿宋"/>
                <w:color w:val="000000"/>
                <w:kern w:val="0"/>
                <w:sz w:val="22"/>
                <w:szCs w:val="22"/>
              </w:rPr>
              <w:t>区市场监管局、</w:t>
            </w:r>
            <w:r>
              <w:rPr>
                <w:rFonts w:eastAsia="仿宋"/>
                <w:color w:val="000000"/>
                <w:kern w:val="0"/>
                <w:sz w:val="22"/>
                <w:szCs w:val="22"/>
              </w:rPr>
              <w:t>区商务局</w:t>
            </w:r>
          </w:p>
        </w:tc>
        <w:tc>
          <w:tcPr>
            <w:tcW w:w="37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eastAsia="仿宋"/>
                <w:color w:val="000000"/>
                <w:kern w:val="0"/>
                <w:sz w:val="22"/>
                <w:szCs w:val="22"/>
              </w:rPr>
              <w:t>区商务局</w:t>
            </w:r>
          </w:p>
        </w:tc>
      </w:tr>
      <w:tr>
        <w:tblPrEx>
          <w:tblCellMar>
            <w:top w:w="15" w:type="dxa"/>
            <w:left w:w="15" w:type="dxa"/>
            <w:bottom w:w="15" w:type="dxa"/>
            <w:right w:w="15" w:type="dxa"/>
          </w:tblCellMar>
        </w:tblPrEx>
        <w:trPr>
          <w:trHeight w:val="81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83</w:t>
            </w:r>
          </w:p>
        </w:tc>
        <w:tc>
          <w:tcPr>
            <w:tcW w:w="15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仿宋"/>
                <w:color w:val="000000"/>
                <w:sz w:val="22"/>
                <w:szCs w:val="22"/>
              </w:rPr>
            </w:pPr>
            <w:r>
              <w:rPr>
                <w:rFonts w:eastAsia="仿宋"/>
                <w:color w:val="000000"/>
                <w:kern w:val="0"/>
                <w:sz w:val="22"/>
                <w:szCs w:val="22"/>
              </w:rPr>
              <w:t>加强大气科研能力建设</w:t>
            </w:r>
          </w:p>
        </w:tc>
        <w:tc>
          <w:tcPr>
            <w:tcW w:w="53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仿宋"/>
                <w:color w:val="000000"/>
                <w:sz w:val="22"/>
                <w:szCs w:val="22"/>
              </w:rPr>
            </w:pPr>
            <w:r>
              <w:rPr>
                <w:rFonts w:eastAsia="仿宋"/>
                <w:color w:val="000000"/>
                <w:kern w:val="0"/>
                <w:sz w:val="22"/>
                <w:szCs w:val="22"/>
              </w:rPr>
              <w:t>加强区域大气污染防治基础性研究，开展关键治理技术攻关。引进培养高层次创新人才和团队。建立大气污染治理首席专家制。</w:t>
            </w:r>
          </w:p>
        </w:tc>
        <w:tc>
          <w:tcPr>
            <w:tcW w:w="3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hint="eastAsia" w:eastAsia="仿宋"/>
                <w:color w:val="000000"/>
                <w:kern w:val="0"/>
                <w:sz w:val="22"/>
                <w:szCs w:val="22"/>
              </w:rPr>
              <w:t>市生态环境局鹿城分局</w:t>
            </w:r>
            <w:r>
              <w:rPr>
                <w:rFonts w:eastAsia="仿宋"/>
                <w:color w:val="000000"/>
                <w:kern w:val="0"/>
                <w:sz w:val="22"/>
                <w:szCs w:val="22"/>
              </w:rPr>
              <w:t>、区科技局</w:t>
            </w:r>
          </w:p>
        </w:tc>
        <w:tc>
          <w:tcPr>
            <w:tcW w:w="37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hint="eastAsia" w:eastAsia="仿宋"/>
                <w:color w:val="000000"/>
                <w:kern w:val="0"/>
                <w:sz w:val="22"/>
                <w:szCs w:val="22"/>
              </w:rPr>
              <w:t>区卫生健康局</w:t>
            </w:r>
          </w:p>
        </w:tc>
      </w:tr>
      <w:tr>
        <w:tblPrEx>
          <w:tblCellMar>
            <w:top w:w="15" w:type="dxa"/>
            <w:left w:w="15" w:type="dxa"/>
            <w:bottom w:w="15" w:type="dxa"/>
            <w:right w:w="15" w:type="dxa"/>
          </w:tblCellMar>
        </w:tblPrEx>
        <w:trPr>
          <w:trHeight w:val="286" w:hRule="atLeast"/>
        </w:trPr>
        <w:tc>
          <w:tcPr>
            <w:tcW w:w="14880"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仿宋"/>
                <w:color w:val="000000"/>
                <w:sz w:val="22"/>
                <w:szCs w:val="22"/>
              </w:rPr>
            </w:pPr>
            <w:r>
              <w:rPr>
                <w:rFonts w:eastAsia="仿宋"/>
                <w:color w:val="000000"/>
                <w:kern w:val="0"/>
                <w:sz w:val="22"/>
                <w:szCs w:val="22"/>
              </w:rPr>
              <w:t>九、保障措施</w:t>
            </w:r>
          </w:p>
        </w:tc>
      </w:tr>
      <w:tr>
        <w:tblPrEx>
          <w:tblCellMar>
            <w:top w:w="15" w:type="dxa"/>
            <w:left w:w="15" w:type="dxa"/>
            <w:bottom w:w="15" w:type="dxa"/>
            <w:right w:w="15" w:type="dxa"/>
          </w:tblCellMar>
        </w:tblPrEx>
        <w:trPr>
          <w:trHeight w:val="1621"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84</w:t>
            </w:r>
          </w:p>
        </w:tc>
        <w:tc>
          <w:tcPr>
            <w:tcW w:w="157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eastAsia="仿宋"/>
                <w:color w:val="000000"/>
                <w:kern w:val="0"/>
                <w:sz w:val="22"/>
                <w:szCs w:val="22"/>
              </w:rPr>
              <w:t>加强组织领导</w:t>
            </w:r>
          </w:p>
        </w:tc>
        <w:tc>
          <w:tcPr>
            <w:tcW w:w="53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仿宋"/>
                <w:color w:val="000000"/>
                <w:sz w:val="22"/>
                <w:szCs w:val="22"/>
              </w:rPr>
            </w:pPr>
            <w:r>
              <w:rPr>
                <w:rFonts w:eastAsia="仿宋"/>
                <w:color w:val="000000"/>
                <w:kern w:val="0"/>
                <w:sz w:val="22"/>
                <w:szCs w:val="22"/>
              </w:rPr>
              <w:t>各相关部门要根据本实施方案要求，按照管发展的管环保、管生产的管环保、管行业的管环保原则，进一步细化分工任务，制定配套政策措施，严格落实一岗双责。各级政府要制定实施方案，细化分解目标任务，科学安排指标进度，确保各项工作有力有序完成。</w:t>
            </w:r>
          </w:p>
        </w:tc>
        <w:tc>
          <w:tcPr>
            <w:tcW w:w="3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eastAsia="仿宋"/>
                <w:color w:val="000000"/>
                <w:kern w:val="0"/>
                <w:sz w:val="22"/>
                <w:szCs w:val="22"/>
              </w:rPr>
              <w:t>区级有关部门</w:t>
            </w:r>
          </w:p>
        </w:tc>
        <w:tc>
          <w:tcPr>
            <w:tcW w:w="3719"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color w:val="000000"/>
                <w:sz w:val="22"/>
                <w:szCs w:val="22"/>
              </w:rPr>
            </w:pPr>
          </w:p>
        </w:tc>
      </w:tr>
      <w:tr>
        <w:tblPrEx>
          <w:tblCellMar>
            <w:top w:w="15" w:type="dxa"/>
            <w:left w:w="15" w:type="dxa"/>
            <w:bottom w:w="15" w:type="dxa"/>
            <w:right w:w="15"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85</w:t>
            </w:r>
          </w:p>
        </w:tc>
        <w:tc>
          <w:tcPr>
            <w:tcW w:w="15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仿宋"/>
                <w:color w:val="000000"/>
                <w:sz w:val="22"/>
                <w:szCs w:val="22"/>
              </w:rPr>
            </w:pPr>
          </w:p>
        </w:tc>
        <w:tc>
          <w:tcPr>
            <w:tcW w:w="53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仿宋"/>
                <w:color w:val="000000"/>
                <w:sz w:val="22"/>
                <w:szCs w:val="22"/>
              </w:rPr>
            </w:pPr>
            <w:r>
              <w:rPr>
                <w:rFonts w:eastAsia="仿宋"/>
                <w:color w:val="000000"/>
                <w:kern w:val="0"/>
                <w:sz w:val="22"/>
                <w:szCs w:val="22"/>
              </w:rPr>
              <w:t>完善考核评估机制，落实实施有关考核办法，贯彻落实省清新空气示范区建设办法。</w:t>
            </w:r>
          </w:p>
        </w:tc>
        <w:tc>
          <w:tcPr>
            <w:tcW w:w="3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hint="eastAsia" w:eastAsia="仿宋"/>
                <w:color w:val="000000"/>
                <w:kern w:val="0"/>
                <w:sz w:val="22"/>
                <w:szCs w:val="22"/>
              </w:rPr>
              <w:t>市生态环境局鹿城分局</w:t>
            </w:r>
          </w:p>
        </w:tc>
        <w:tc>
          <w:tcPr>
            <w:tcW w:w="37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eastAsia="仿宋"/>
                <w:color w:val="000000"/>
                <w:kern w:val="0"/>
                <w:sz w:val="22"/>
                <w:szCs w:val="22"/>
              </w:rPr>
              <w:t>区</w:t>
            </w:r>
            <w:r>
              <w:rPr>
                <w:rFonts w:hint="eastAsia" w:eastAsia="仿宋"/>
                <w:color w:val="000000"/>
                <w:kern w:val="0"/>
                <w:sz w:val="22"/>
                <w:szCs w:val="22"/>
              </w:rPr>
              <w:t>督考</w:t>
            </w:r>
            <w:r>
              <w:rPr>
                <w:rFonts w:eastAsia="仿宋"/>
                <w:color w:val="000000"/>
                <w:kern w:val="0"/>
                <w:sz w:val="22"/>
                <w:szCs w:val="22"/>
              </w:rPr>
              <w:t>办</w:t>
            </w:r>
          </w:p>
        </w:tc>
      </w:tr>
      <w:tr>
        <w:tblPrEx>
          <w:tblCellMar>
            <w:top w:w="15" w:type="dxa"/>
            <w:left w:w="15" w:type="dxa"/>
            <w:bottom w:w="15" w:type="dxa"/>
            <w:right w:w="15" w:type="dxa"/>
          </w:tblCellMar>
        </w:tblPrEx>
        <w:trPr>
          <w:trHeight w:val="1891"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86</w:t>
            </w:r>
          </w:p>
        </w:tc>
        <w:tc>
          <w:tcPr>
            <w:tcW w:w="157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eastAsia="仿宋"/>
                <w:color w:val="000000"/>
                <w:kern w:val="0"/>
                <w:sz w:val="22"/>
                <w:szCs w:val="22"/>
              </w:rPr>
              <w:t>加强资金支持</w:t>
            </w:r>
          </w:p>
        </w:tc>
        <w:tc>
          <w:tcPr>
            <w:tcW w:w="53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仿宋"/>
                <w:color w:val="000000"/>
                <w:sz w:val="22"/>
                <w:szCs w:val="22"/>
              </w:rPr>
            </w:pPr>
            <w:r>
              <w:rPr>
                <w:rFonts w:eastAsia="仿宋"/>
                <w:color w:val="000000"/>
                <w:kern w:val="0"/>
                <w:sz w:val="22"/>
                <w:szCs w:val="22"/>
              </w:rPr>
              <w:t>各级财政支出要向打赢蓝天保卫战倾斜，加大大气污染防治资金投入，完善与环境空气质量改善绩效挂钩的财政奖惩机制，完善主要污染物排放总量财政收费制度。在风险可控的前提下，建立政府、企业、社会多元化投资机制，鼓励支持大气污染防治的各类投融资模式和绿色金融产品，鼓励开展合同环境服务，推广环境污染第三方治理。</w:t>
            </w:r>
          </w:p>
        </w:tc>
        <w:tc>
          <w:tcPr>
            <w:tcW w:w="3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eastAsia="仿宋"/>
                <w:color w:val="000000"/>
                <w:kern w:val="0"/>
                <w:sz w:val="22"/>
                <w:szCs w:val="22"/>
              </w:rPr>
              <w:t>区财政局</w:t>
            </w:r>
          </w:p>
        </w:tc>
        <w:tc>
          <w:tcPr>
            <w:tcW w:w="37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eastAsia="仿宋"/>
                <w:color w:val="000000"/>
                <w:kern w:val="0"/>
                <w:sz w:val="22"/>
                <w:szCs w:val="22"/>
              </w:rPr>
              <w:t>区发改局、</w:t>
            </w:r>
            <w:r>
              <w:rPr>
                <w:rFonts w:hint="eastAsia" w:eastAsia="仿宋"/>
                <w:color w:val="000000"/>
                <w:kern w:val="0"/>
                <w:sz w:val="22"/>
                <w:szCs w:val="22"/>
              </w:rPr>
              <w:t>市生态环境局鹿城分局</w:t>
            </w:r>
            <w:r>
              <w:rPr>
                <w:rFonts w:eastAsia="仿宋"/>
                <w:color w:val="000000"/>
                <w:kern w:val="0"/>
                <w:sz w:val="22"/>
                <w:szCs w:val="22"/>
              </w:rPr>
              <w:t>、人民银行温州中心支行等</w:t>
            </w:r>
          </w:p>
        </w:tc>
      </w:tr>
      <w:tr>
        <w:tblPrEx>
          <w:tblCellMar>
            <w:top w:w="15" w:type="dxa"/>
            <w:left w:w="15" w:type="dxa"/>
            <w:bottom w:w="15" w:type="dxa"/>
            <w:right w:w="15" w:type="dxa"/>
          </w:tblCellMar>
        </w:tblPrEx>
        <w:trPr>
          <w:trHeight w:val="1351"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87</w:t>
            </w:r>
          </w:p>
        </w:tc>
        <w:tc>
          <w:tcPr>
            <w:tcW w:w="15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仿宋"/>
                <w:color w:val="000000"/>
                <w:sz w:val="22"/>
                <w:szCs w:val="22"/>
              </w:rPr>
            </w:pPr>
          </w:p>
        </w:tc>
        <w:tc>
          <w:tcPr>
            <w:tcW w:w="53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仿宋"/>
                <w:color w:val="000000"/>
                <w:sz w:val="22"/>
                <w:szCs w:val="22"/>
              </w:rPr>
            </w:pPr>
            <w:r>
              <w:rPr>
                <w:rFonts w:eastAsia="仿宋"/>
                <w:color w:val="000000"/>
                <w:kern w:val="0"/>
                <w:sz w:val="22"/>
                <w:szCs w:val="22"/>
              </w:rPr>
              <w:t>严格落实有利于大气污染防治的价格政策。全面清理取消对高耗能行业的优待类电价以及其他各种不合理价格优惠政策。严格落实高污染、高耗能、低产出企业差别化电价和水价政策的动态调整机制。</w:t>
            </w:r>
          </w:p>
        </w:tc>
        <w:tc>
          <w:tcPr>
            <w:tcW w:w="3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eastAsia="仿宋"/>
                <w:color w:val="000000"/>
                <w:kern w:val="0"/>
                <w:sz w:val="22"/>
                <w:szCs w:val="22"/>
              </w:rPr>
              <w:t>区发改局、区财政局</w:t>
            </w:r>
          </w:p>
        </w:tc>
        <w:tc>
          <w:tcPr>
            <w:tcW w:w="37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eastAsia="仿宋"/>
                <w:color w:val="000000"/>
                <w:kern w:val="0"/>
                <w:sz w:val="22"/>
                <w:szCs w:val="22"/>
              </w:rPr>
              <w:t>区经信局、</w:t>
            </w:r>
            <w:r>
              <w:rPr>
                <w:rFonts w:hint="eastAsia" w:eastAsia="仿宋"/>
                <w:color w:val="000000"/>
                <w:kern w:val="0"/>
                <w:sz w:val="22"/>
                <w:szCs w:val="22"/>
              </w:rPr>
              <w:t>区农业农村局</w:t>
            </w:r>
            <w:r>
              <w:rPr>
                <w:rFonts w:eastAsia="仿宋"/>
                <w:color w:val="000000"/>
                <w:kern w:val="0"/>
                <w:sz w:val="22"/>
                <w:szCs w:val="22"/>
              </w:rPr>
              <w:t>、</w:t>
            </w:r>
            <w:r>
              <w:rPr>
                <w:rFonts w:hint="eastAsia" w:eastAsia="仿宋"/>
                <w:color w:val="000000"/>
                <w:kern w:val="0"/>
                <w:sz w:val="22"/>
                <w:szCs w:val="22"/>
              </w:rPr>
              <w:t>市生态环境局鹿城分局</w:t>
            </w:r>
            <w:r>
              <w:rPr>
                <w:rFonts w:eastAsia="仿宋"/>
                <w:color w:val="000000"/>
                <w:kern w:val="0"/>
                <w:sz w:val="22"/>
                <w:szCs w:val="22"/>
              </w:rPr>
              <w:t>等</w:t>
            </w:r>
          </w:p>
        </w:tc>
      </w:tr>
      <w:tr>
        <w:tblPrEx>
          <w:tblCellMar>
            <w:top w:w="15" w:type="dxa"/>
            <w:left w:w="15" w:type="dxa"/>
            <w:bottom w:w="15" w:type="dxa"/>
            <w:right w:w="15" w:type="dxa"/>
          </w:tblCellMar>
        </w:tblPrEx>
        <w:trPr>
          <w:trHeight w:val="81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88</w:t>
            </w:r>
          </w:p>
        </w:tc>
        <w:tc>
          <w:tcPr>
            <w:tcW w:w="15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仿宋"/>
                <w:color w:val="000000"/>
                <w:sz w:val="22"/>
                <w:szCs w:val="22"/>
              </w:rPr>
            </w:pPr>
          </w:p>
        </w:tc>
        <w:tc>
          <w:tcPr>
            <w:tcW w:w="53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仿宋"/>
                <w:color w:val="000000"/>
                <w:sz w:val="22"/>
                <w:szCs w:val="22"/>
              </w:rPr>
            </w:pPr>
            <w:r>
              <w:rPr>
                <w:rFonts w:eastAsia="仿宋"/>
                <w:color w:val="000000"/>
                <w:kern w:val="0"/>
                <w:sz w:val="22"/>
                <w:szCs w:val="22"/>
              </w:rPr>
              <w:t>严格执行环境保护税制度。落实购置环境保护专用设备企业所得税抵免优惠政策和大气污染防治方面的其他税收优惠政策。</w:t>
            </w:r>
          </w:p>
        </w:tc>
        <w:tc>
          <w:tcPr>
            <w:tcW w:w="3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eastAsia="仿宋"/>
                <w:color w:val="000000"/>
                <w:kern w:val="0"/>
                <w:sz w:val="22"/>
                <w:szCs w:val="22"/>
              </w:rPr>
              <w:t>区税务局、区发改局</w:t>
            </w:r>
          </w:p>
        </w:tc>
        <w:tc>
          <w:tcPr>
            <w:tcW w:w="37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eastAsia="仿宋"/>
                <w:color w:val="000000"/>
                <w:kern w:val="0"/>
                <w:sz w:val="22"/>
                <w:szCs w:val="22"/>
              </w:rPr>
              <w:t>区经信局、</w:t>
            </w:r>
            <w:r>
              <w:rPr>
                <w:rFonts w:hint="eastAsia" w:eastAsia="仿宋"/>
                <w:color w:val="000000"/>
                <w:kern w:val="0"/>
                <w:sz w:val="22"/>
                <w:szCs w:val="22"/>
              </w:rPr>
              <w:t>市生态环境局鹿城分局</w:t>
            </w:r>
          </w:p>
        </w:tc>
      </w:tr>
      <w:tr>
        <w:tblPrEx>
          <w:tblCellMar>
            <w:top w:w="15" w:type="dxa"/>
            <w:left w:w="15" w:type="dxa"/>
            <w:bottom w:w="15" w:type="dxa"/>
            <w:right w:w="15" w:type="dxa"/>
          </w:tblCellMar>
        </w:tblPrEx>
        <w:trPr>
          <w:trHeight w:val="286"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89</w:t>
            </w:r>
          </w:p>
        </w:tc>
        <w:tc>
          <w:tcPr>
            <w:tcW w:w="157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eastAsia="仿宋"/>
                <w:color w:val="000000"/>
                <w:kern w:val="0"/>
                <w:sz w:val="22"/>
                <w:szCs w:val="22"/>
              </w:rPr>
              <w:t>动员全民参与</w:t>
            </w:r>
          </w:p>
        </w:tc>
        <w:tc>
          <w:tcPr>
            <w:tcW w:w="53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仿宋"/>
                <w:color w:val="000000"/>
                <w:sz w:val="22"/>
                <w:szCs w:val="22"/>
              </w:rPr>
            </w:pPr>
            <w:r>
              <w:rPr>
                <w:rFonts w:eastAsia="仿宋"/>
                <w:color w:val="000000"/>
                <w:kern w:val="0"/>
                <w:sz w:val="22"/>
                <w:szCs w:val="22"/>
              </w:rPr>
              <w:t>每月公布环境空气质量排名。</w:t>
            </w:r>
          </w:p>
        </w:tc>
        <w:tc>
          <w:tcPr>
            <w:tcW w:w="3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hint="eastAsia" w:eastAsia="仿宋"/>
                <w:color w:val="000000"/>
                <w:kern w:val="0"/>
                <w:sz w:val="22"/>
                <w:szCs w:val="22"/>
              </w:rPr>
              <w:t>市生态环境局鹿城分局</w:t>
            </w:r>
          </w:p>
        </w:tc>
        <w:tc>
          <w:tcPr>
            <w:tcW w:w="3719"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
                <w:color w:val="000000"/>
                <w:sz w:val="22"/>
                <w:szCs w:val="22"/>
              </w:rPr>
            </w:pPr>
          </w:p>
        </w:tc>
      </w:tr>
      <w:tr>
        <w:tblPrEx>
          <w:tblCellMar>
            <w:top w:w="15" w:type="dxa"/>
            <w:left w:w="15" w:type="dxa"/>
            <w:bottom w:w="15" w:type="dxa"/>
            <w:right w:w="15" w:type="dxa"/>
          </w:tblCellMar>
        </w:tblPrEx>
        <w:trPr>
          <w:trHeight w:val="286"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sz w:val="22"/>
                <w:szCs w:val="22"/>
              </w:rPr>
            </w:pPr>
            <w:r>
              <w:rPr>
                <w:rFonts w:hint="eastAsia" w:ascii="仿宋_GB2312"/>
                <w:sz w:val="22"/>
                <w:szCs w:val="22"/>
              </w:rPr>
              <w:t>90</w:t>
            </w:r>
          </w:p>
        </w:tc>
        <w:tc>
          <w:tcPr>
            <w:tcW w:w="15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仿宋"/>
                <w:color w:val="000000"/>
                <w:sz w:val="22"/>
                <w:szCs w:val="22"/>
              </w:rPr>
            </w:pPr>
          </w:p>
        </w:tc>
        <w:tc>
          <w:tcPr>
            <w:tcW w:w="53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仿宋"/>
                <w:color w:val="000000"/>
                <w:sz w:val="22"/>
                <w:szCs w:val="22"/>
              </w:rPr>
            </w:pPr>
            <w:r>
              <w:rPr>
                <w:rFonts w:eastAsia="仿宋"/>
                <w:color w:val="000000"/>
                <w:kern w:val="0"/>
                <w:sz w:val="22"/>
                <w:szCs w:val="22"/>
              </w:rPr>
              <w:t>建立健全环保信息强制性公开制度。</w:t>
            </w:r>
          </w:p>
        </w:tc>
        <w:tc>
          <w:tcPr>
            <w:tcW w:w="3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hint="eastAsia" w:eastAsia="仿宋"/>
                <w:color w:val="000000"/>
                <w:kern w:val="0"/>
                <w:sz w:val="22"/>
                <w:szCs w:val="22"/>
              </w:rPr>
              <w:t>市生态环境局鹿城分局</w:t>
            </w:r>
          </w:p>
        </w:tc>
        <w:tc>
          <w:tcPr>
            <w:tcW w:w="37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2"/>
                <w:szCs w:val="22"/>
              </w:rPr>
            </w:pPr>
            <w:r>
              <w:rPr>
                <w:rFonts w:eastAsia="仿宋"/>
                <w:color w:val="000000"/>
                <w:kern w:val="0"/>
                <w:sz w:val="22"/>
                <w:szCs w:val="22"/>
              </w:rPr>
              <w:t>区级各有关部门。</w:t>
            </w:r>
          </w:p>
        </w:tc>
      </w:tr>
    </w:tbl>
    <w:p>
      <w:pPr>
        <w:adjustRightInd w:val="0"/>
        <w:snapToGrid w:val="0"/>
        <w:spacing w:line="540" w:lineRule="exact"/>
        <w:rPr>
          <w:bCs/>
          <w:color w:val="000000"/>
          <w:szCs w:val="32"/>
        </w:rPr>
        <w:sectPr>
          <w:pgSz w:w="16838" w:h="11906" w:orient="landscape"/>
          <w:pgMar w:top="1800" w:right="1440" w:bottom="1800" w:left="1440" w:header="851" w:footer="992" w:gutter="0"/>
          <w:cols w:space="720" w:num="1"/>
          <w:docGrid w:type="lines" w:linePitch="312" w:charSpace="0"/>
        </w:sectPr>
      </w:pPr>
    </w:p>
    <w:p>
      <w:pPr>
        <w:pStyle w:val="4"/>
        <w:autoSpaceDE w:val="0"/>
        <w:autoSpaceDN w:val="0"/>
        <w:adjustRightInd w:val="0"/>
        <w:spacing w:before="0" w:after="0" w:line="580" w:lineRule="exact"/>
        <w:rPr>
          <w:rFonts w:ascii="楷体" w:hAnsi="楷体" w:eastAsia="楷体" w:cs="楷体"/>
          <w:b w:val="0"/>
          <w:bCs/>
        </w:rPr>
      </w:pPr>
      <w:r>
        <w:rPr>
          <w:rFonts w:hint="eastAsia" w:ascii="黑体" w:hAnsi="黑体" w:eastAsia="黑体" w:cs="黑体"/>
          <w:b w:val="0"/>
          <w:bCs/>
        </w:rPr>
        <w:t>附件3</w:t>
      </w:r>
    </w:p>
    <w:p>
      <w:pPr>
        <w:autoSpaceDE w:val="0"/>
        <w:autoSpaceDN w:val="0"/>
        <w:adjustRightInd w:val="0"/>
        <w:snapToGrid w:val="0"/>
        <w:spacing w:line="580" w:lineRule="exact"/>
        <w:rPr>
          <w:rFonts w:ascii="仿宋_GB2312"/>
          <w:b/>
          <w:bCs/>
          <w:sz w:val="28"/>
          <w:szCs w:val="28"/>
        </w:rPr>
      </w:pPr>
      <w:r>
        <w:rPr>
          <w:rFonts w:hint="eastAsia" w:ascii="仿宋_GB2312"/>
          <w:b/>
          <w:bCs/>
          <w:sz w:val="28"/>
          <w:szCs w:val="28"/>
        </w:rPr>
        <w:t>鹿城区城市建成区重污染企业关闭搬迁工作计划表（2018-2020年）</w:t>
      </w:r>
    </w:p>
    <w:tbl>
      <w:tblPr>
        <w:tblStyle w:val="10"/>
        <w:tblW w:w="8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937"/>
        <w:gridCol w:w="870"/>
        <w:gridCol w:w="919"/>
        <w:gridCol w:w="1740"/>
        <w:gridCol w:w="1305"/>
        <w:gridCol w:w="1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535" w:type="dxa"/>
            <w:vAlign w:val="center"/>
          </w:tcPr>
          <w:p>
            <w:pPr>
              <w:jc w:val="center"/>
              <w:rPr>
                <w:rFonts w:eastAsia="仿宋"/>
                <w:sz w:val="24"/>
                <w:szCs w:val="24"/>
              </w:rPr>
            </w:pPr>
            <w:r>
              <w:rPr>
                <w:rFonts w:eastAsia="仿宋"/>
                <w:sz w:val="24"/>
                <w:szCs w:val="24"/>
              </w:rPr>
              <w:t>序号</w:t>
            </w:r>
          </w:p>
        </w:tc>
        <w:tc>
          <w:tcPr>
            <w:tcW w:w="1937" w:type="dxa"/>
            <w:vAlign w:val="center"/>
          </w:tcPr>
          <w:p>
            <w:pPr>
              <w:jc w:val="center"/>
              <w:rPr>
                <w:rFonts w:eastAsia="仿宋"/>
                <w:sz w:val="24"/>
                <w:szCs w:val="24"/>
              </w:rPr>
            </w:pPr>
            <w:r>
              <w:rPr>
                <w:rFonts w:eastAsia="仿宋"/>
                <w:sz w:val="24"/>
                <w:szCs w:val="24"/>
              </w:rPr>
              <w:t>企业</w:t>
            </w:r>
            <w:r>
              <w:rPr>
                <w:rFonts w:hint="eastAsia" w:ascii="仿宋_GB2312"/>
                <w:sz w:val="24"/>
                <w:szCs w:val="24"/>
              </w:rPr>
              <w:t>名称</w:t>
            </w:r>
          </w:p>
        </w:tc>
        <w:tc>
          <w:tcPr>
            <w:tcW w:w="870" w:type="dxa"/>
            <w:vAlign w:val="center"/>
          </w:tcPr>
          <w:p>
            <w:pPr>
              <w:jc w:val="center"/>
              <w:rPr>
                <w:rFonts w:eastAsia="仿宋"/>
                <w:sz w:val="24"/>
                <w:szCs w:val="24"/>
              </w:rPr>
            </w:pPr>
            <w:r>
              <w:rPr>
                <w:rFonts w:eastAsia="仿宋"/>
                <w:sz w:val="24"/>
                <w:szCs w:val="24"/>
              </w:rPr>
              <w:t>行业</w:t>
            </w:r>
          </w:p>
          <w:p>
            <w:pPr>
              <w:jc w:val="center"/>
              <w:rPr>
                <w:rFonts w:eastAsia="仿宋"/>
                <w:sz w:val="24"/>
                <w:szCs w:val="24"/>
              </w:rPr>
            </w:pPr>
            <w:r>
              <w:rPr>
                <w:rFonts w:eastAsia="仿宋"/>
                <w:sz w:val="24"/>
                <w:szCs w:val="24"/>
              </w:rPr>
              <w:t>类别</w:t>
            </w:r>
          </w:p>
        </w:tc>
        <w:tc>
          <w:tcPr>
            <w:tcW w:w="919" w:type="dxa"/>
            <w:vAlign w:val="center"/>
          </w:tcPr>
          <w:p>
            <w:pPr>
              <w:jc w:val="center"/>
              <w:rPr>
                <w:rFonts w:eastAsia="仿宋"/>
                <w:sz w:val="24"/>
                <w:szCs w:val="24"/>
              </w:rPr>
            </w:pPr>
            <w:r>
              <w:rPr>
                <w:rFonts w:eastAsia="仿宋"/>
                <w:sz w:val="24"/>
                <w:szCs w:val="24"/>
              </w:rPr>
              <w:t>行业</w:t>
            </w:r>
          </w:p>
          <w:p>
            <w:pPr>
              <w:jc w:val="center"/>
              <w:rPr>
                <w:rFonts w:eastAsia="仿宋"/>
                <w:sz w:val="24"/>
                <w:szCs w:val="24"/>
              </w:rPr>
            </w:pPr>
            <w:r>
              <w:rPr>
                <w:rFonts w:eastAsia="仿宋"/>
                <w:sz w:val="24"/>
                <w:szCs w:val="24"/>
              </w:rPr>
              <w:t>代码</w:t>
            </w:r>
          </w:p>
        </w:tc>
        <w:tc>
          <w:tcPr>
            <w:tcW w:w="1740" w:type="dxa"/>
            <w:vAlign w:val="center"/>
          </w:tcPr>
          <w:p>
            <w:pPr>
              <w:jc w:val="center"/>
              <w:rPr>
                <w:rFonts w:eastAsia="仿宋"/>
                <w:sz w:val="24"/>
                <w:szCs w:val="24"/>
              </w:rPr>
            </w:pPr>
            <w:r>
              <w:rPr>
                <w:rFonts w:eastAsia="仿宋"/>
                <w:sz w:val="24"/>
                <w:szCs w:val="24"/>
              </w:rPr>
              <w:t>地址</w:t>
            </w:r>
          </w:p>
        </w:tc>
        <w:tc>
          <w:tcPr>
            <w:tcW w:w="1305" w:type="dxa"/>
            <w:vAlign w:val="center"/>
          </w:tcPr>
          <w:p>
            <w:pPr>
              <w:jc w:val="center"/>
              <w:rPr>
                <w:rFonts w:eastAsia="仿宋"/>
                <w:sz w:val="24"/>
                <w:szCs w:val="24"/>
              </w:rPr>
            </w:pPr>
            <w:r>
              <w:rPr>
                <w:rFonts w:eastAsia="仿宋"/>
                <w:sz w:val="24"/>
                <w:szCs w:val="24"/>
              </w:rPr>
              <w:t>搬迁改造或退出关闭</w:t>
            </w:r>
          </w:p>
        </w:tc>
        <w:tc>
          <w:tcPr>
            <w:tcW w:w="1151" w:type="dxa"/>
            <w:vAlign w:val="center"/>
          </w:tcPr>
          <w:p>
            <w:pPr>
              <w:jc w:val="center"/>
              <w:rPr>
                <w:rFonts w:eastAsia="仿宋"/>
                <w:sz w:val="24"/>
                <w:szCs w:val="24"/>
              </w:rPr>
            </w:pPr>
            <w:r>
              <w:rPr>
                <w:rFonts w:eastAsia="仿宋"/>
                <w:sz w:val="24"/>
                <w:szCs w:val="24"/>
              </w:rPr>
              <w:t>计划</w:t>
            </w:r>
          </w:p>
          <w:p>
            <w:pPr>
              <w:jc w:val="center"/>
              <w:rPr>
                <w:rFonts w:eastAsia="仿宋"/>
                <w:sz w:val="24"/>
                <w:szCs w:val="24"/>
              </w:rPr>
            </w:pPr>
            <w:r>
              <w:rPr>
                <w:rFonts w:eastAsia="仿宋"/>
                <w:sz w:val="24"/>
                <w:szCs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535" w:type="dxa"/>
            <w:vAlign w:val="center"/>
          </w:tcPr>
          <w:p>
            <w:pPr>
              <w:widowControl/>
              <w:jc w:val="center"/>
              <w:textAlignment w:val="center"/>
              <w:rPr>
                <w:rFonts w:ascii="仿宋_GB2312"/>
                <w:sz w:val="24"/>
                <w:szCs w:val="24"/>
              </w:rPr>
            </w:pPr>
            <w:r>
              <w:rPr>
                <w:rFonts w:hint="eastAsia" w:ascii="仿宋_GB2312"/>
                <w:sz w:val="24"/>
                <w:szCs w:val="24"/>
              </w:rPr>
              <w:t>1</w:t>
            </w:r>
          </w:p>
        </w:tc>
        <w:tc>
          <w:tcPr>
            <w:tcW w:w="1937" w:type="dxa"/>
            <w:vAlign w:val="center"/>
          </w:tcPr>
          <w:p>
            <w:pPr>
              <w:widowControl/>
              <w:jc w:val="center"/>
              <w:textAlignment w:val="center"/>
              <w:rPr>
                <w:rFonts w:ascii="仿宋_GB2312"/>
                <w:sz w:val="24"/>
                <w:szCs w:val="24"/>
              </w:rPr>
            </w:pPr>
            <w:r>
              <w:rPr>
                <w:rFonts w:hint="eastAsia" w:ascii="仿宋_GB2312"/>
                <w:sz w:val="24"/>
                <w:szCs w:val="24"/>
              </w:rPr>
              <w:t>温州市东开化工试剂厂</w:t>
            </w:r>
          </w:p>
        </w:tc>
        <w:tc>
          <w:tcPr>
            <w:tcW w:w="870" w:type="dxa"/>
            <w:vAlign w:val="center"/>
          </w:tcPr>
          <w:p>
            <w:pPr>
              <w:widowControl/>
              <w:jc w:val="center"/>
              <w:textAlignment w:val="center"/>
              <w:rPr>
                <w:rFonts w:ascii="仿宋_GB2312"/>
                <w:sz w:val="24"/>
                <w:szCs w:val="24"/>
              </w:rPr>
            </w:pPr>
            <w:r>
              <w:rPr>
                <w:rFonts w:hint="eastAsia" w:ascii="仿宋_GB2312"/>
                <w:sz w:val="24"/>
                <w:szCs w:val="24"/>
              </w:rPr>
              <w:t>化工</w:t>
            </w:r>
          </w:p>
        </w:tc>
        <w:tc>
          <w:tcPr>
            <w:tcW w:w="919" w:type="dxa"/>
            <w:vAlign w:val="center"/>
          </w:tcPr>
          <w:p>
            <w:pPr>
              <w:widowControl/>
              <w:jc w:val="center"/>
              <w:textAlignment w:val="center"/>
              <w:rPr>
                <w:rFonts w:ascii="仿宋_GB2312"/>
                <w:sz w:val="24"/>
                <w:szCs w:val="24"/>
              </w:rPr>
            </w:pPr>
            <w:r>
              <w:rPr>
                <w:rFonts w:hint="eastAsia" w:ascii="仿宋_GB2312"/>
                <w:sz w:val="24"/>
                <w:szCs w:val="24"/>
              </w:rPr>
              <w:t>2661</w:t>
            </w:r>
          </w:p>
        </w:tc>
        <w:tc>
          <w:tcPr>
            <w:tcW w:w="1740" w:type="dxa"/>
            <w:vAlign w:val="center"/>
          </w:tcPr>
          <w:p>
            <w:pPr>
              <w:widowControl/>
              <w:jc w:val="center"/>
              <w:textAlignment w:val="center"/>
              <w:rPr>
                <w:rFonts w:ascii="仿宋_GB2312"/>
                <w:sz w:val="24"/>
                <w:szCs w:val="24"/>
              </w:rPr>
            </w:pPr>
            <w:r>
              <w:rPr>
                <w:rFonts w:hint="eastAsia" w:ascii="仿宋_GB2312"/>
                <w:sz w:val="24"/>
                <w:szCs w:val="24"/>
              </w:rPr>
              <w:t>仰义街道前京制革旧片区制革东路</w:t>
            </w:r>
          </w:p>
        </w:tc>
        <w:tc>
          <w:tcPr>
            <w:tcW w:w="1305" w:type="dxa"/>
            <w:vAlign w:val="center"/>
          </w:tcPr>
          <w:p>
            <w:pPr>
              <w:widowControl/>
              <w:jc w:val="center"/>
              <w:textAlignment w:val="center"/>
              <w:rPr>
                <w:rFonts w:ascii="仿宋_GB2312"/>
                <w:sz w:val="24"/>
                <w:szCs w:val="24"/>
              </w:rPr>
            </w:pPr>
            <w:r>
              <w:rPr>
                <w:rFonts w:hint="eastAsia" w:ascii="仿宋_GB2312"/>
                <w:sz w:val="24"/>
                <w:szCs w:val="24"/>
              </w:rPr>
              <w:t>关闭</w:t>
            </w:r>
          </w:p>
        </w:tc>
        <w:tc>
          <w:tcPr>
            <w:tcW w:w="1151" w:type="dxa"/>
            <w:vAlign w:val="center"/>
          </w:tcPr>
          <w:p>
            <w:pPr>
              <w:widowControl/>
              <w:jc w:val="center"/>
              <w:textAlignment w:val="center"/>
              <w:rPr>
                <w:rFonts w:ascii="仿宋_GB2312"/>
                <w:sz w:val="24"/>
                <w:szCs w:val="24"/>
              </w:rPr>
            </w:pPr>
            <w:r>
              <w:rPr>
                <w:rFonts w:hint="eastAsia" w:ascii="仿宋_GB2312"/>
                <w:sz w:val="24"/>
                <w:szCs w:val="24"/>
              </w:rPr>
              <w:t>2018.12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535" w:type="dxa"/>
            <w:vAlign w:val="center"/>
          </w:tcPr>
          <w:p>
            <w:pPr>
              <w:widowControl/>
              <w:jc w:val="center"/>
              <w:textAlignment w:val="center"/>
              <w:rPr>
                <w:rFonts w:ascii="仿宋_GB2312"/>
                <w:sz w:val="24"/>
                <w:szCs w:val="24"/>
              </w:rPr>
            </w:pPr>
            <w:r>
              <w:rPr>
                <w:rFonts w:hint="eastAsia" w:ascii="仿宋_GB2312"/>
                <w:sz w:val="24"/>
                <w:szCs w:val="24"/>
              </w:rPr>
              <w:t>2</w:t>
            </w:r>
          </w:p>
        </w:tc>
        <w:tc>
          <w:tcPr>
            <w:tcW w:w="1937" w:type="dxa"/>
            <w:vAlign w:val="center"/>
          </w:tcPr>
          <w:p>
            <w:pPr>
              <w:widowControl/>
              <w:jc w:val="center"/>
              <w:textAlignment w:val="center"/>
              <w:rPr>
                <w:rFonts w:ascii="仿宋_GB2312"/>
                <w:sz w:val="24"/>
                <w:szCs w:val="24"/>
              </w:rPr>
            </w:pPr>
            <w:r>
              <w:rPr>
                <w:rFonts w:hint="eastAsia" w:ascii="仿宋_GB2312"/>
                <w:sz w:val="24"/>
                <w:szCs w:val="24"/>
              </w:rPr>
              <w:t>温州市鹿城东瓯染料中间体厂</w:t>
            </w:r>
          </w:p>
        </w:tc>
        <w:tc>
          <w:tcPr>
            <w:tcW w:w="870" w:type="dxa"/>
            <w:vAlign w:val="center"/>
          </w:tcPr>
          <w:p>
            <w:pPr>
              <w:widowControl/>
              <w:jc w:val="center"/>
              <w:textAlignment w:val="center"/>
              <w:rPr>
                <w:rFonts w:ascii="仿宋_GB2312"/>
                <w:sz w:val="24"/>
                <w:szCs w:val="24"/>
              </w:rPr>
            </w:pPr>
            <w:r>
              <w:rPr>
                <w:rFonts w:hint="eastAsia" w:ascii="仿宋_GB2312"/>
                <w:sz w:val="24"/>
                <w:szCs w:val="24"/>
              </w:rPr>
              <w:t>化工</w:t>
            </w:r>
          </w:p>
        </w:tc>
        <w:tc>
          <w:tcPr>
            <w:tcW w:w="919" w:type="dxa"/>
            <w:vAlign w:val="center"/>
          </w:tcPr>
          <w:p>
            <w:pPr>
              <w:widowControl/>
              <w:jc w:val="center"/>
              <w:textAlignment w:val="center"/>
              <w:rPr>
                <w:rFonts w:ascii="仿宋_GB2312"/>
                <w:sz w:val="24"/>
                <w:szCs w:val="24"/>
              </w:rPr>
            </w:pPr>
            <w:r>
              <w:rPr>
                <w:rFonts w:hint="eastAsia" w:ascii="仿宋_GB2312"/>
                <w:sz w:val="24"/>
                <w:szCs w:val="24"/>
              </w:rPr>
              <w:t>2645</w:t>
            </w:r>
          </w:p>
        </w:tc>
        <w:tc>
          <w:tcPr>
            <w:tcW w:w="1740" w:type="dxa"/>
            <w:vAlign w:val="center"/>
          </w:tcPr>
          <w:p>
            <w:pPr>
              <w:widowControl/>
              <w:jc w:val="center"/>
              <w:textAlignment w:val="center"/>
              <w:rPr>
                <w:rFonts w:ascii="仿宋_GB2312"/>
                <w:sz w:val="24"/>
                <w:szCs w:val="24"/>
              </w:rPr>
            </w:pPr>
            <w:r>
              <w:rPr>
                <w:rFonts w:hint="eastAsia" w:ascii="仿宋_GB2312"/>
                <w:sz w:val="24"/>
                <w:szCs w:val="24"/>
              </w:rPr>
              <w:t>温州市鹿城区双屿镇嵇师村</w:t>
            </w:r>
          </w:p>
        </w:tc>
        <w:tc>
          <w:tcPr>
            <w:tcW w:w="1305" w:type="dxa"/>
            <w:vAlign w:val="center"/>
          </w:tcPr>
          <w:p>
            <w:pPr>
              <w:widowControl/>
              <w:jc w:val="center"/>
              <w:textAlignment w:val="center"/>
              <w:rPr>
                <w:rFonts w:ascii="仿宋_GB2312"/>
                <w:sz w:val="24"/>
                <w:szCs w:val="24"/>
              </w:rPr>
            </w:pPr>
            <w:r>
              <w:rPr>
                <w:rFonts w:hint="eastAsia" w:ascii="仿宋_GB2312"/>
                <w:sz w:val="24"/>
                <w:szCs w:val="24"/>
              </w:rPr>
              <w:t>关闭</w:t>
            </w:r>
          </w:p>
        </w:tc>
        <w:tc>
          <w:tcPr>
            <w:tcW w:w="1151" w:type="dxa"/>
            <w:vAlign w:val="center"/>
          </w:tcPr>
          <w:p>
            <w:pPr>
              <w:widowControl/>
              <w:jc w:val="center"/>
              <w:textAlignment w:val="center"/>
              <w:rPr>
                <w:rFonts w:ascii="仿宋_GB2312"/>
                <w:sz w:val="24"/>
                <w:szCs w:val="24"/>
              </w:rPr>
            </w:pPr>
            <w:r>
              <w:rPr>
                <w:rFonts w:hint="eastAsia" w:ascii="仿宋_GB2312"/>
                <w:sz w:val="24"/>
                <w:szCs w:val="24"/>
              </w:rPr>
              <w:t>2018.12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535" w:type="dxa"/>
            <w:vAlign w:val="center"/>
          </w:tcPr>
          <w:p>
            <w:pPr>
              <w:widowControl/>
              <w:jc w:val="center"/>
              <w:textAlignment w:val="center"/>
              <w:rPr>
                <w:rFonts w:ascii="仿宋_GB2312"/>
                <w:sz w:val="24"/>
                <w:szCs w:val="24"/>
              </w:rPr>
            </w:pPr>
            <w:r>
              <w:rPr>
                <w:rFonts w:hint="eastAsia" w:ascii="仿宋_GB2312"/>
                <w:sz w:val="24"/>
                <w:szCs w:val="24"/>
              </w:rPr>
              <w:t>3</w:t>
            </w:r>
          </w:p>
        </w:tc>
        <w:tc>
          <w:tcPr>
            <w:tcW w:w="1937" w:type="dxa"/>
            <w:vAlign w:val="center"/>
          </w:tcPr>
          <w:p>
            <w:pPr>
              <w:widowControl/>
              <w:jc w:val="center"/>
              <w:textAlignment w:val="center"/>
              <w:rPr>
                <w:rFonts w:ascii="仿宋_GB2312"/>
                <w:sz w:val="24"/>
                <w:szCs w:val="24"/>
              </w:rPr>
            </w:pPr>
            <w:r>
              <w:rPr>
                <w:rFonts w:hint="eastAsia" w:ascii="仿宋_GB2312"/>
                <w:sz w:val="24"/>
                <w:szCs w:val="24"/>
              </w:rPr>
              <w:t>温州市亿凯化工有限公司</w:t>
            </w:r>
          </w:p>
        </w:tc>
        <w:tc>
          <w:tcPr>
            <w:tcW w:w="870" w:type="dxa"/>
            <w:vAlign w:val="center"/>
          </w:tcPr>
          <w:p>
            <w:pPr>
              <w:widowControl/>
              <w:jc w:val="center"/>
              <w:textAlignment w:val="center"/>
              <w:rPr>
                <w:rFonts w:ascii="仿宋_GB2312"/>
                <w:sz w:val="24"/>
                <w:szCs w:val="24"/>
              </w:rPr>
            </w:pPr>
            <w:r>
              <w:rPr>
                <w:rFonts w:hint="eastAsia" w:ascii="仿宋_GB2312"/>
                <w:sz w:val="24"/>
                <w:szCs w:val="24"/>
              </w:rPr>
              <w:t>化工</w:t>
            </w:r>
          </w:p>
        </w:tc>
        <w:tc>
          <w:tcPr>
            <w:tcW w:w="919" w:type="dxa"/>
            <w:vAlign w:val="center"/>
          </w:tcPr>
          <w:p>
            <w:pPr>
              <w:widowControl/>
              <w:jc w:val="center"/>
              <w:textAlignment w:val="center"/>
              <w:rPr>
                <w:rFonts w:ascii="仿宋_GB2312"/>
                <w:sz w:val="24"/>
                <w:szCs w:val="24"/>
              </w:rPr>
            </w:pPr>
            <w:r>
              <w:rPr>
                <w:rFonts w:hint="eastAsia" w:ascii="仿宋_GB2312"/>
                <w:sz w:val="24"/>
                <w:szCs w:val="24"/>
              </w:rPr>
              <w:t>2661</w:t>
            </w:r>
          </w:p>
        </w:tc>
        <w:tc>
          <w:tcPr>
            <w:tcW w:w="1740" w:type="dxa"/>
            <w:vAlign w:val="center"/>
          </w:tcPr>
          <w:p>
            <w:pPr>
              <w:widowControl/>
              <w:jc w:val="center"/>
              <w:textAlignment w:val="center"/>
              <w:rPr>
                <w:rFonts w:ascii="仿宋_GB2312"/>
                <w:sz w:val="24"/>
                <w:szCs w:val="24"/>
              </w:rPr>
            </w:pPr>
            <w:r>
              <w:rPr>
                <w:rFonts w:hint="eastAsia" w:ascii="仿宋_GB2312"/>
                <w:sz w:val="24"/>
                <w:szCs w:val="24"/>
              </w:rPr>
              <w:t>仰义街道澄沙桥村文武路5号</w:t>
            </w:r>
          </w:p>
        </w:tc>
        <w:tc>
          <w:tcPr>
            <w:tcW w:w="1305" w:type="dxa"/>
            <w:vAlign w:val="center"/>
          </w:tcPr>
          <w:p>
            <w:pPr>
              <w:widowControl/>
              <w:jc w:val="center"/>
              <w:textAlignment w:val="center"/>
              <w:rPr>
                <w:rFonts w:ascii="仿宋_GB2312"/>
                <w:sz w:val="24"/>
                <w:szCs w:val="24"/>
              </w:rPr>
            </w:pPr>
            <w:r>
              <w:rPr>
                <w:rFonts w:hint="eastAsia" w:ascii="仿宋_GB2312"/>
                <w:sz w:val="24"/>
                <w:szCs w:val="24"/>
              </w:rPr>
              <w:t>关闭</w:t>
            </w:r>
          </w:p>
        </w:tc>
        <w:tc>
          <w:tcPr>
            <w:tcW w:w="1151" w:type="dxa"/>
            <w:vAlign w:val="center"/>
          </w:tcPr>
          <w:p>
            <w:pPr>
              <w:widowControl/>
              <w:jc w:val="center"/>
              <w:textAlignment w:val="center"/>
              <w:rPr>
                <w:rFonts w:ascii="仿宋_GB2312"/>
                <w:sz w:val="24"/>
                <w:szCs w:val="24"/>
              </w:rPr>
            </w:pPr>
            <w:r>
              <w:rPr>
                <w:rFonts w:hint="eastAsia" w:ascii="仿宋_GB2312"/>
                <w:sz w:val="24"/>
                <w:szCs w:val="24"/>
              </w:rPr>
              <w:t>2019.12</w:t>
            </w:r>
          </w:p>
        </w:tc>
      </w:tr>
    </w:tbl>
    <w:p>
      <w:pPr>
        <w:adjustRightInd w:val="0"/>
        <w:snapToGrid w:val="0"/>
        <w:spacing w:line="540" w:lineRule="exact"/>
        <w:ind w:firstLine="640" w:firstLineChars="200"/>
        <w:rPr>
          <w:bCs/>
          <w:color w:val="000000"/>
          <w:szCs w:val="32"/>
        </w:rPr>
      </w:pPr>
    </w:p>
    <w:p>
      <w:pPr>
        <w:adjustRightInd w:val="0"/>
        <w:snapToGrid w:val="0"/>
        <w:spacing w:line="540" w:lineRule="exact"/>
        <w:ind w:firstLine="640" w:firstLineChars="200"/>
        <w:rPr>
          <w:bCs/>
          <w:color w:val="000000"/>
          <w:szCs w:val="32"/>
        </w:rPr>
      </w:pPr>
    </w:p>
    <w:p>
      <w:pPr>
        <w:adjustRightInd w:val="0"/>
        <w:snapToGrid w:val="0"/>
        <w:spacing w:line="540" w:lineRule="exact"/>
        <w:rPr>
          <w:bCs/>
          <w:color w:val="000000"/>
          <w:szCs w:val="32"/>
        </w:rPr>
      </w:pPr>
    </w:p>
    <w:p/>
    <w:p>
      <w:pPr>
        <w:rPr>
          <w:rFonts w:ascii="仿宋_GB2312"/>
          <w:color w:val="000000"/>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小标宋">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altName w:val="Arial Unicode MS"/>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jc w:val="left"/>
      <w:rPr>
        <w:rFonts w:ascii="宋体" w:hAnsi="宋体"/>
        <w:sz w:val="28"/>
        <w:szCs w:val="28"/>
      </w:rPr>
    </w:pPr>
    <w:r>
      <w:rPr>
        <w:sz w:val="28"/>
      </w:rP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joinstyle="miter"/>
          <v:imagedata o:title=""/>
          <o:lock v:ext="edit"/>
          <v:textbox inset="0mm,0mm,0mm,0mm" style="mso-fit-shape-to-text:t;">
            <w:txbxContent>
              <w:p>
                <w:pPr>
                  <w:pStyle w:val="7"/>
                  <w:rPr>
                    <w:rFonts w:eastAsia="宋体"/>
                  </w:rPr>
                </w:pPr>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EC9FF5"/>
    <w:multiLevelType w:val="singleLevel"/>
    <w:tmpl w:val="6BEC9FF5"/>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D03FF"/>
    <w:rsid w:val="000638E1"/>
    <w:rsid w:val="00142016"/>
    <w:rsid w:val="004D03FF"/>
    <w:rsid w:val="00DF228B"/>
    <w:rsid w:val="016F21BB"/>
    <w:rsid w:val="01815072"/>
    <w:rsid w:val="01F035D7"/>
    <w:rsid w:val="023C0647"/>
    <w:rsid w:val="029B79F6"/>
    <w:rsid w:val="03347C41"/>
    <w:rsid w:val="035F3F49"/>
    <w:rsid w:val="03927200"/>
    <w:rsid w:val="041E707B"/>
    <w:rsid w:val="04EC1DFE"/>
    <w:rsid w:val="04F636C9"/>
    <w:rsid w:val="05017E85"/>
    <w:rsid w:val="050F6BBA"/>
    <w:rsid w:val="053543C6"/>
    <w:rsid w:val="059141CD"/>
    <w:rsid w:val="05A43BC8"/>
    <w:rsid w:val="078D6FB9"/>
    <w:rsid w:val="07B61F77"/>
    <w:rsid w:val="07D67897"/>
    <w:rsid w:val="07F05A58"/>
    <w:rsid w:val="081B1795"/>
    <w:rsid w:val="084F6CF2"/>
    <w:rsid w:val="088839C6"/>
    <w:rsid w:val="08B274C2"/>
    <w:rsid w:val="08BB025C"/>
    <w:rsid w:val="08CF2273"/>
    <w:rsid w:val="08DA741E"/>
    <w:rsid w:val="0904406B"/>
    <w:rsid w:val="094B6640"/>
    <w:rsid w:val="09AA6BF6"/>
    <w:rsid w:val="09C57B34"/>
    <w:rsid w:val="09E851CD"/>
    <w:rsid w:val="0A7F2DAB"/>
    <w:rsid w:val="0B5C0B0F"/>
    <w:rsid w:val="0B757044"/>
    <w:rsid w:val="0BB90E72"/>
    <w:rsid w:val="0BC119F5"/>
    <w:rsid w:val="0C9D38DF"/>
    <w:rsid w:val="0C9F0443"/>
    <w:rsid w:val="0CE300DC"/>
    <w:rsid w:val="0D3134AB"/>
    <w:rsid w:val="0D715529"/>
    <w:rsid w:val="0E062466"/>
    <w:rsid w:val="0E916274"/>
    <w:rsid w:val="0EC542F3"/>
    <w:rsid w:val="0F040C26"/>
    <w:rsid w:val="0FF63D8F"/>
    <w:rsid w:val="1007692E"/>
    <w:rsid w:val="10A16354"/>
    <w:rsid w:val="11134B73"/>
    <w:rsid w:val="115B759B"/>
    <w:rsid w:val="11E41FF2"/>
    <w:rsid w:val="11EE2CE7"/>
    <w:rsid w:val="12C17213"/>
    <w:rsid w:val="13DE13EC"/>
    <w:rsid w:val="13E2585F"/>
    <w:rsid w:val="13EB71C5"/>
    <w:rsid w:val="14BE0066"/>
    <w:rsid w:val="14CF2070"/>
    <w:rsid w:val="156B0185"/>
    <w:rsid w:val="16C31D5F"/>
    <w:rsid w:val="16E70C41"/>
    <w:rsid w:val="17DA3636"/>
    <w:rsid w:val="1883284B"/>
    <w:rsid w:val="190558A0"/>
    <w:rsid w:val="197A4609"/>
    <w:rsid w:val="19D70E75"/>
    <w:rsid w:val="1A162F96"/>
    <w:rsid w:val="1A934C85"/>
    <w:rsid w:val="1B201162"/>
    <w:rsid w:val="1CD00B31"/>
    <w:rsid w:val="1D12214B"/>
    <w:rsid w:val="1D154C15"/>
    <w:rsid w:val="1D4C5CB4"/>
    <w:rsid w:val="1DF62309"/>
    <w:rsid w:val="1ED661D5"/>
    <w:rsid w:val="1F9C2AE2"/>
    <w:rsid w:val="1FA70318"/>
    <w:rsid w:val="20222765"/>
    <w:rsid w:val="20C021EA"/>
    <w:rsid w:val="20D579D0"/>
    <w:rsid w:val="211E2393"/>
    <w:rsid w:val="21CC2A66"/>
    <w:rsid w:val="223E4349"/>
    <w:rsid w:val="226440F5"/>
    <w:rsid w:val="22875F07"/>
    <w:rsid w:val="233A4D4B"/>
    <w:rsid w:val="23FF1960"/>
    <w:rsid w:val="250012A7"/>
    <w:rsid w:val="258D594C"/>
    <w:rsid w:val="25D41DDA"/>
    <w:rsid w:val="26074559"/>
    <w:rsid w:val="261132F4"/>
    <w:rsid w:val="26712BB9"/>
    <w:rsid w:val="27993BE8"/>
    <w:rsid w:val="28224E6C"/>
    <w:rsid w:val="28C96FEA"/>
    <w:rsid w:val="290B26A5"/>
    <w:rsid w:val="2914326E"/>
    <w:rsid w:val="292B77A3"/>
    <w:rsid w:val="298F51FD"/>
    <w:rsid w:val="2A361EA3"/>
    <w:rsid w:val="2A505D3D"/>
    <w:rsid w:val="2B49190C"/>
    <w:rsid w:val="2B6114B2"/>
    <w:rsid w:val="2B6D52A0"/>
    <w:rsid w:val="2BCD7DB5"/>
    <w:rsid w:val="2BD55ADA"/>
    <w:rsid w:val="2BE45A9E"/>
    <w:rsid w:val="2C326B79"/>
    <w:rsid w:val="2C365BC4"/>
    <w:rsid w:val="2CB94901"/>
    <w:rsid w:val="2CE9777F"/>
    <w:rsid w:val="2D024974"/>
    <w:rsid w:val="2D6B2437"/>
    <w:rsid w:val="2D6B34FB"/>
    <w:rsid w:val="2DC82655"/>
    <w:rsid w:val="2DE0662C"/>
    <w:rsid w:val="2E7A3D1C"/>
    <w:rsid w:val="2EBD727E"/>
    <w:rsid w:val="30034A41"/>
    <w:rsid w:val="301B0C01"/>
    <w:rsid w:val="30332843"/>
    <w:rsid w:val="30BB330D"/>
    <w:rsid w:val="30BB7E1C"/>
    <w:rsid w:val="30C54ED0"/>
    <w:rsid w:val="31594C2F"/>
    <w:rsid w:val="316538E5"/>
    <w:rsid w:val="31853CBD"/>
    <w:rsid w:val="31F654F4"/>
    <w:rsid w:val="32E235E5"/>
    <w:rsid w:val="330B45E7"/>
    <w:rsid w:val="338A202D"/>
    <w:rsid w:val="352A26CB"/>
    <w:rsid w:val="358252C6"/>
    <w:rsid w:val="35F53402"/>
    <w:rsid w:val="367A333F"/>
    <w:rsid w:val="36F27A31"/>
    <w:rsid w:val="37074A54"/>
    <w:rsid w:val="370871A3"/>
    <w:rsid w:val="37330997"/>
    <w:rsid w:val="37D51CD3"/>
    <w:rsid w:val="38AF4BA5"/>
    <w:rsid w:val="39F12A86"/>
    <w:rsid w:val="3A2122A6"/>
    <w:rsid w:val="3B020DF4"/>
    <w:rsid w:val="3C69446C"/>
    <w:rsid w:val="3C8A0ECC"/>
    <w:rsid w:val="3C91466B"/>
    <w:rsid w:val="3D4612F5"/>
    <w:rsid w:val="3E5E7209"/>
    <w:rsid w:val="3F8E6314"/>
    <w:rsid w:val="40427B54"/>
    <w:rsid w:val="40774C9A"/>
    <w:rsid w:val="40BF2A84"/>
    <w:rsid w:val="414F7BA2"/>
    <w:rsid w:val="416360DA"/>
    <w:rsid w:val="42147545"/>
    <w:rsid w:val="421E2432"/>
    <w:rsid w:val="42355EC3"/>
    <w:rsid w:val="4248110B"/>
    <w:rsid w:val="42BE01AF"/>
    <w:rsid w:val="42D05DDB"/>
    <w:rsid w:val="42D731D7"/>
    <w:rsid w:val="43303488"/>
    <w:rsid w:val="433E6537"/>
    <w:rsid w:val="433E7012"/>
    <w:rsid w:val="43437C1C"/>
    <w:rsid w:val="44251DBF"/>
    <w:rsid w:val="446C19BA"/>
    <w:rsid w:val="448E75DA"/>
    <w:rsid w:val="451F6DE3"/>
    <w:rsid w:val="452E7D2D"/>
    <w:rsid w:val="455B47B7"/>
    <w:rsid w:val="463B4379"/>
    <w:rsid w:val="467301DF"/>
    <w:rsid w:val="46AA0CA9"/>
    <w:rsid w:val="477828AE"/>
    <w:rsid w:val="484F187D"/>
    <w:rsid w:val="48506F75"/>
    <w:rsid w:val="49181422"/>
    <w:rsid w:val="49272FB1"/>
    <w:rsid w:val="494107C7"/>
    <w:rsid w:val="494F393E"/>
    <w:rsid w:val="4966708F"/>
    <w:rsid w:val="49841E2E"/>
    <w:rsid w:val="4A143154"/>
    <w:rsid w:val="4A68631F"/>
    <w:rsid w:val="4BAE6564"/>
    <w:rsid w:val="4BEE0016"/>
    <w:rsid w:val="4CE46D5F"/>
    <w:rsid w:val="4D2327DA"/>
    <w:rsid w:val="4D2C6FF1"/>
    <w:rsid w:val="4D4441F3"/>
    <w:rsid w:val="4D8F5C59"/>
    <w:rsid w:val="4DB71067"/>
    <w:rsid w:val="4DC952FD"/>
    <w:rsid w:val="4ED5440F"/>
    <w:rsid w:val="4EF7048B"/>
    <w:rsid w:val="4F9F61B3"/>
    <w:rsid w:val="4FB7678C"/>
    <w:rsid w:val="505E2566"/>
    <w:rsid w:val="50793964"/>
    <w:rsid w:val="51381149"/>
    <w:rsid w:val="513A3F2A"/>
    <w:rsid w:val="518F68F6"/>
    <w:rsid w:val="51B24293"/>
    <w:rsid w:val="51F17742"/>
    <w:rsid w:val="52680E64"/>
    <w:rsid w:val="52ED4DE2"/>
    <w:rsid w:val="54265437"/>
    <w:rsid w:val="549853BB"/>
    <w:rsid w:val="55A22338"/>
    <w:rsid w:val="55E874D1"/>
    <w:rsid w:val="56191F65"/>
    <w:rsid w:val="563A45E2"/>
    <w:rsid w:val="56807BAC"/>
    <w:rsid w:val="56A36185"/>
    <w:rsid w:val="56CA343D"/>
    <w:rsid w:val="56D279CE"/>
    <w:rsid w:val="57011294"/>
    <w:rsid w:val="57387832"/>
    <w:rsid w:val="57DC2779"/>
    <w:rsid w:val="58365988"/>
    <w:rsid w:val="585978C5"/>
    <w:rsid w:val="587B62BE"/>
    <w:rsid w:val="587F1604"/>
    <w:rsid w:val="588A37AF"/>
    <w:rsid w:val="590E4A59"/>
    <w:rsid w:val="5A405D2C"/>
    <w:rsid w:val="5A7138F5"/>
    <w:rsid w:val="5AC33303"/>
    <w:rsid w:val="5BEF3A78"/>
    <w:rsid w:val="5C025A0A"/>
    <w:rsid w:val="5C2B27D6"/>
    <w:rsid w:val="5C401DCF"/>
    <w:rsid w:val="5C531BB2"/>
    <w:rsid w:val="5C6E59CC"/>
    <w:rsid w:val="5D0A3EFC"/>
    <w:rsid w:val="5DBF70A4"/>
    <w:rsid w:val="5DC24575"/>
    <w:rsid w:val="5E341532"/>
    <w:rsid w:val="5EB60014"/>
    <w:rsid w:val="5EC02FF4"/>
    <w:rsid w:val="5F1B6A43"/>
    <w:rsid w:val="5F254C17"/>
    <w:rsid w:val="5F3E6EBC"/>
    <w:rsid w:val="5F504782"/>
    <w:rsid w:val="5F8146F3"/>
    <w:rsid w:val="5F8406CB"/>
    <w:rsid w:val="5FDB7AD7"/>
    <w:rsid w:val="60527A86"/>
    <w:rsid w:val="605D4FFB"/>
    <w:rsid w:val="60E61CBE"/>
    <w:rsid w:val="610D6EAA"/>
    <w:rsid w:val="619E0F2C"/>
    <w:rsid w:val="61AD355E"/>
    <w:rsid w:val="61CD2E0B"/>
    <w:rsid w:val="61EA0F96"/>
    <w:rsid w:val="624C7897"/>
    <w:rsid w:val="629C7FD2"/>
    <w:rsid w:val="64C812AE"/>
    <w:rsid w:val="6506389F"/>
    <w:rsid w:val="65265294"/>
    <w:rsid w:val="653513E5"/>
    <w:rsid w:val="65EF7672"/>
    <w:rsid w:val="661764C2"/>
    <w:rsid w:val="6625252A"/>
    <w:rsid w:val="66744C00"/>
    <w:rsid w:val="66DF45D7"/>
    <w:rsid w:val="67326E8C"/>
    <w:rsid w:val="679223DE"/>
    <w:rsid w:val="6812376F"/>
    <w:rsid w:val="689F4895"/>
    <w:rsid w:val="695C5FFA"/>
    <w:rsid w:val="69EF7885"/>
    <w:rsid w:val="6A9F51E3"/>
    <w:rsid w:val="6AE603D9"/>
    <w:rsid w:val="6B2860B6"/>
    <w:rsid w:val="6B5C02C9"/>
    <w:rsid w:val="6C0542D7"/>
    <w:rsid w:val="6CF51D69"/>
    <w:rsid w:val="6DE25BDC"/>
    <w:rsid w:val="6E595EA3"/>
    <w:rsid w:val="6E8A4981"/>
    <w:rsid w:val="6E9951AE"/>
    <w:rsid w:val="6EA40090"/>
    <w:rsid w:val="6F676EF5"/>
    <w:rsid w:val="70187421"/>
    <w:rsid w:val="7021182F"/>
    <w:rsid w:val="704C7533"/>
    <w:rsid w:val="708F59C5"/>
    <w:rsid w:val="71973115"/>
    <w:rsid w:val="71B47649"/>
    <w:rsid w:val="72477154"/>
    <w:rsid w:val="72DD623D"/>
    <w:rsid w:val="73076CA4"/>
    <w:rsid w:val="73727856"/>
    <w:rsid w:val="73EA6642"/>
    <w:rsid w:val="74791934"/>
    <w:rsid w:val="74EA1B95"/>
    <w:rsid w:val="76261AF8"/>
    <w:rsid w:val="767232F6"/>
    <w:rsid w:val="769012E6"/>
    <w:rsid w:val="76A55E33"/>
    <w:rsid w:val="76B704CF"/>
    <w:rsid w:val="76FE4C84"/>
    <w:rsid w:val="7735523E"/>
    <w:rsid w:val="77484652"/>
    <w:rsid w:val="778A57C0"/>
    <w:rsid w:val="778A5C70"/>
    <w:rsid w:val="779D0743"/>
    <w:rsid w:val="77EA5839"/>
    <w:rsid w:val="77F00DA2"/>
    <w:rsid w:val="781A02BE"/>
    <w:rsid w:val="78AB6E7C"/>
    <w:rsid w:val="78B4557A"/>
    <w:rsid w:val="78E3501B"/>
    <w:rsid w:val="798A2177"/>
    <w:rsid w:val="79E24365"/>
    <w:rsid w:val="7A3A5118"/>
    <w:rsid w:val="7AF22FE5"/>
    <w:rsid w:val="7BA12075"/>
    <w:rsid w:val="7BB54BEB"/>
    <w:rsid w:val="7C245657"/>
    <w:rsid w:val="7CD14FA5"/>
    <w:rsid w:val="7E5D0A5C"/>
    <w:rsid w:val="7E9D1A19"/>
    <w:rsid w:val="7F0C4DEB"/>
    <w:rsid w:val="7F47171D"/>
    <w:rsid w:val="7F64378E"/>
    <w:rsid w:val="7F8D52C3"/>
    <w:rsid w:val="7FE33483"/>
    <w:rsid w:val="7FE57D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unhideWhenUsed/>
    <w:qFormat/>
    <w:uiPriority w:val="0"/>
    <w:pPr>
      <w:keepNext/>
      <w:keepLines/>
      <w:spacing w:before="260" w:after="260" w:line="413" w:lineRule="auto"/>
      <w:outlineLvl w:val="1"/>
    </w:pPr>
    <w:rPr>
      <w:rFonts w:ascii="Arial" w:hAnsi="Arial" w:eastAsia="黑体"/>
      <w:b/>
    </w:rPr>
  </w:style>
  <w:style w:type="paragraph" w:styleId="4">
    <w:name w:val="heading 3"/>
    <w:basedOn w:val="1"/>
    <w:next w:val="1"/>
    <w:unhideWhenUsed/>
    <w:qFormat/>
    <w:uiPriority w:val="0"/>
    <w:pPr>
      <w:keepNext/>
      <w:keepLines/>
      <w:spacing w:before="260" w:after="260" w:line="413" w:lineRule="auto"/>
      <w:outlineLvl w:val="2"/>
    </w:pPr>
    <w:rPr>
      <w:b/>
      <w:kern w:val="0"/>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0"/>
    <w:pPr>
      <w:spacing w:line="0" w:lineRule="atLeast"/>
    </w:pPr>
    <w:rPr>
      <w:rFonts w:eastAsia="小标宋"/>
      <w:sz w:val="44"/>
    </w:rPr>
  </w:style>
  <w:style w:type="paragraph" w:styleId="6">
    <w:name w:val="Balloon Text"/>
    <w:basedOn w:val="1"/>
    <w:link w:val="13"/>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12"/>
    <w:uiPriority w:val="0"/>
    <w:pPr>
      <w:pBdr>
        <w:bottom w:val="single" w:color="auto" w:sz="6" w:space="1"/>
      </w:pBdr>
      <w:tabs>
        <w:tab w:val="center" w:pos="4153"/>
        <w:tab w:val="right" w:pos="8306"/>
      </w:tabs>
      <w:snapToGrid w:val="0"/>
      <w:jc w:val="center"/>
    </w:pPr>
    <w:rPr>
      <w:sz w:val="18"/>
      <w:szCs w:val="18"/>
    </w:rPr>
  </w:style>
  <w:style w:type="paragraph" w:styleId="9">
    <w:name w:val="Body Text First Indent"/>
    <w:basedOn w:val="5"/>
    <w:unhideWhenUsed/>
    <w:qFormat/>
    <w:uiPriority w:val="99"/>
    <w:pPr>
      <w:spacing w:after="120" w:line="240" w:lineRule="auto"/>
      <w:ind w:firstLine="420" w:firstLineChars="100"/>
    </w:pPr>
    <w:rPr>
      <w:rFonts w:ascii="Calibri" w:hAnsi="Calibri"/>
      <w:sz w:val="21"/>
      <w:szCs w:val="21"/>
    </w:rPr>
  </w:style>
  <w:style w:type="character" w:customStyle="1" w:styleId="12">
    <w:name w:val="页眉 Char"/>
    <w:basedOn w:val="11"/>
    <w:link w:val="8"/>
    <w:uiPriority w:val="0"/>
    <w:rPr>
      <w:rFonts w:eastAsia="仿宋_GB2312"/>
      <w:kern w:val="2"/>
      <w:sz w:val="18"/>
      <w:szCs w:val="18"/>
    </w:rPr>
  </w:style>
  <w:style w:type="character" w:customStyle="1" w:styleId="13">
    <w:name w:val="批注框文本 Char"/>
    <w:basedOn w:val="11"/>
    <w:link w:val="6"/>
    <w:uiPriority w:val="0"/>
    <w:rPr>
      <w:rFonts w:eastAsia="仿宋_GB2312"/>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Company>
  <Pages>41</Pages>
  <Words>3030</Words>
  <Characters>17274</Characters>
  <Lines>143</Lines>
  <Paragraphs>40</Paragraphs>
  <TotalTime>18</TotalTime>
  <ScaleCrop>false</ScaleCrop>
  <LinksUpToDate>false</LinksUpToDate>
  <CharactersWithSpaces>20264</CharactersWithSpaces>
  <Application>WPS Office_11.1.0.11035_F1E327BC-269C-435d-A152-05C5408002CA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2017pc1</dc:creator>
  <cp:lastModifiedBy>明天</cp:lastModifiedBy>
  <cp:lastPrinted>2019-07-01T07:07:00Z</cp:lastPrinted>
  <dcterms:modified xsi:type="dcterms:W3CDTF">2021-12-04T07:41:17Z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DC498E3E3A1A4839B73F06F0FDD6EEF0</vt:lpwstr>
  </property>
</Properties>
</file>