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spacing w:before="0" w:beforeAutospacing="0" w:after="0" w:afterAutospacing="0" w:line="600" w:lineRule="exact"/>
        <w:jc w:val="center"/>
        <w:textAlignment w:val="auto"/>
        <w:rPr>
          <w:rFonts w:hint="eastAsia" w:ascii="小标宋" w:hAnsi="小标宋" w:eastAsia="小标宋" w:cs="小标宋"/>
          <w:w w:val="104"/>
          <w:sz w:val="44"/>
          <w:szCs w:val="44"/>
          <w:lang w:eastAsia="zh-CN"/>
        </w:rPr>
      </w:pPr>
      <w:r>
        <w:rPr>
          <w:rFonts w:hint="eastAsia" w:ascii="小标宋" w:hAnsi="小标宋" w:eastAsia="小标宋" w:cs="小标宋"/>
          <w:spacing w:val="-20"/>
          <w:w w:val="104"/>
          <w:sz w:val="44"/>
          <w:szCs w:val="44"/>
          <w:lang w:val="en-US" w:eastAsia="zh-CN"/>
        </w:rPr>
        <w:t>2021年</w:t>
      </w:r>
      <w:r>
        <w:rPr>
          <w:rFonts w:hint="eastAsia" w:ascii="小标宋" w:hAnsi="小标宋" w:eastAsia="小标宋" w:cs="小标宋"/>
          <w:spacing w:val="-20"/>
          <w:w w:val="104"/>
          <w:sz w:val="44"/>
          <w:szCs w:val="44"/>
        </w:rPr>
        <w:t>金融机构（地方金融组织）支持鹿城区经济发展业绩考评</w:t>
      </w:r>
      <w:r>
        <w:rPr>
          <w:rFonts w:hint="eastAsia" w:ascii="小标宋" w:hAnsi="小标宋" w:eastAsia="小标宋" w:cs="小标宋"/>
          <w:spacing w:val="-20"/>
          <w:w w:val="104"/>
          <w:sz w:val="44"/>
          <w:szCs w:val="44"/>
          <w:lang w:eastAsia="zh-CN"/>
        </w:rPr>
        <w:t>实施细则</w:t>
      </w:r>
    </w:p>
    <w:p>
      <w:pPr>
        <w:jc w:val="center"/>
        <w:rPr>
          <w:rFonts w:hint="eastAsia" w:ascii="仿宋_GB2312" w:hAnsi="仿宋_GB2312" w:eastAsia="仿宋_GB2312" w:cs="仿宋_GB2312"/>
          <w:snapToGrid w:val="0"/>
          <w:kern w:val="0"/>
        </w:rPr>
      </w:pPr>
      <w:r>
        <w:rPr>
          <w:rFonts w:hint="eastAsia" w:ascii="黑体" w:hAnsi="黑体" w:eastAsia="黑体" w:cs="黑体"/>
          <w:sz w:val="36"/>
          <w:szCs w:val="36"/>
          <w:lang w:val="en-US" w:eastAsia="zh-CN"/>
        </w:rPr>
        <w:t>（征求意见稿）</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pPr>
      <w:r>
        <w:rPr>
          <w:rFonts w:hint="eastAsia" w:ascii="仿宋_GB2312" w:hAnsi="仿宋_GB2312" w:eastAsia="仿宋_GB2312" w:cs="仿宋_GB2312"/>
          <w:snapToGrid w:val="0"/>
          <w:kern w:val="0"/>
        </w:rPr>
        <w:t>为鼓励金融机构和地方金融组织加大对鹿城区经济社会发展的支持力度，改善金融管理和服务，优化金融生态环境，更好地促进地方经济发展，</w:t>
      </w:r>
      <w:r>
        <w:rPr>
          <w:rFonts w:hint="eastAsia" w:ascii="仿宋_GB2312" w:hAnsi="仿宋_GB2312" w:eastAsia="仿宋_GB2312" w:cs="仿宋_GB2312"/>
        </w:rPr>
        <w:t>根据《金融机构（地方金融组织）支持鹿城区经济发展业绩考评奖励办法》（温鹿金融办﹝2019﹞30号）文件规定，经研究制定《20</w:t>
      </w:r>
      <w:r>
        <w:rPr>
          <w:rFonts w:hint="eastAsia" w:ascii="仿宋_GB2312" w:hAnsi="仿宋_GB2312" w:eastAsia="仿宋_GB2312" w:cs="仿宋_GB2312"/>
          <w:lang w:val="en-US" w:eastAsia="zh-CN"/>
        </w:rPr>
        <w:t>2</w:t>
      </w:r>
      <w:r>
        <w:rPr>
          <w:rFonts w:hint="eastAsia" w:hAnsi="仿宋_GB2312" w:cs="仿宋_GB2312"/>
          <w:lang w:val="en-US" w:eastAsia="zh-CN"/>
        </w:rPr>
        <w:t>1</w:t>
      </w:r>
      <w:r>
        <w:rPr>
          <w:rFonts w:hint="eastAsia" w:ascii="仿宋_GB2312" w:hAnsi="仿宋_GB2312" w:eastAsia="仿宋_GB2312" w:cs="仿宋_GB2312"/>
        </w:rPr>
        <w:t>年金融机构（地方金融组织）支持鹿城区经济发展业绩考评实施细则》。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eastAsia="黑体"/>
          <w:snapToGrid w:val="0"/>
          <w:kern w:val="0"/>
        </w:rPr>
      </w:pPr>
      <w:r>
        <w:rPr>
          <w:rFonts w:hint="eastAsia" w:ascii="黑体" w:eastAsia="黑体"/>
          <w:snapToGrid w:val="0"/>
          <w:kern w:val="0"/>
        </w:rPr>
        <w:t>一、参评对象</w:t>
      </w:r>
      <w:bookmarkStart w:id="0" w:name="_GoBack"/>
      <w:bookmarkEnd w:id="0"/>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eastAsia="黑体"/>
          <w:snapToGrid w:val="0"/>
          <w:kern w:val="0"/>
        </w:rPr>
      </w:pPr>
      <w:r>
        <w:rPr>
          <w:rFonts w:hint="eastAsia"/>
          <w:snapToGrid w:val="0"/>
        </w:rPr>
        <w:t>银行业金融机构参评对象以鹿城支行作为牵头行（交通银行以信河支行作为牵头行），考核数据统计口径为各银行在鹿城辖区范围内的所有支行（包括分行营业部），未成立鹿城支行的由温州分行牵头。当年新设的商业银行不参加考核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snapToGrid w:val="0"/>
          <w:kern w:val="0"/>
        </w:rPr>
      </w:pPr>
      <w:r>
        <w:rPr>
          <w:rFonts w:hint="eastAsia"/>
          <w:snapToGrid w:val="0"/>
          <w:kern w:val="0"/>
        </w:rPr>
        <w:t>非银行业金融机构参评对象为入驻鹿城辖区的证券业金融机构温州分公司、保险业金融机构驻鹿支公司和财务公司等。当年新设机构，不参加考核奖励。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snapToGrid w:val="0"/>
          <w:kern w:val="0"/>
        </w:rPr>
      </w:pPr>
      <w:r>
        <w:rPr>
          <w:rFonts w:hint="eastAsia"/>
          <w:snapToGrid w:val="0"/>
          <w:kern w:val="0"/>
        </w:rPr>
        <w:t>地方金融组织参评对象为在鹿城辖区设立的小额贷款公司、融资担保有限公司和典当行，当年新设的地方金融组织不参加考核奖励。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eastAsia="黑体"/>
          <w:snapToGrid w:val="0"/>
          <w:kern w:val="0"/>
        </w:rPr>
      </w:pPr>
      <w:r>
        <w:rPr>
          <w:rFonts w:hint="eastAsia" w:ascii="黑体" w:eastAsia="黑体"/>
          <w:snapToGrid w:val="0"/>
          <w:kern w:val="0"/>
        </w:rPr>
        <w:t>二、工作考评标准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楷体_GB2312" w:eastAsia="楷体_GB2312" w:cs="楷体_GB2312"/>
          <w:kern w:val="0"/>
        </w:rPr>
      </w:pPr>
      <w:r>
        <w:rPr>
          <w:rFonts w:hint="eastAsia" w:ascii="楷体_GB2312" w:eastAsia="楷体_GB2312" w:cs="楷体_GB2312"/>
          <w:kern w:val="0"/>
        </w:rPr>
        <w:t>（一）银行业金融机构考评标准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rPr>
      </w:pPr>
      <w:r>
        <w:rPr>
          <w:rFonts w:hint="eastAsia"/>
          <w:snapToGrid w:val="0"/>
          <w:kern w:val="0"/>
        </w:rPr>
        <w:t>银行业金融机构考评主要内容包括：项目贷款、</w:t>
      </w:r>
      <w:r>
        <w:rPr>
          <w:rFonts w:hint="eastAsia"/>
          <w:snapToGrid w:val="0"/>
          <w:kern w:val="0"/>
          <w:lang w:eastAsia="zh-CN"/>
        </w:rPr>
        <w:t>融资畅通工程</w:t>
      </w:r>
      <w:r>
        <w:rPr>
          <w:rFonts w:hint="eastAsia"/>
          <w:snapToGrid w:val="0"/>
          <w:kern w:val="0"/>
        </w:rPr>
        <w:t>、金融风险化解、工作衔接、重点工作加分项和负面清单，</w:t>
      </w:r>
      <w:r>
        <w:rPr>
          <w:rFonts w:hint="eastAsia"/>
          <w:snapToGrid w:val="0"/>
        </w:rPr>
        <w:t>具体考评内容及计分方法见附件1。</w:t>
      </w:r>
      <w:r>
        <w:rPr>
          <w:rFonts w:hint="eastAsia" w:cs="仿宋_GB2312"/>
        </w:rPr>
        <w:t>有下列情形之一的，</w:t>
      </w:r>
      <w:r>
        <w:rPr>
          <w:rFonts w:hint="eastAsia"/>
          <w:snapToGrid w:val="0"/>
          <w:kern w:val="0"/>
        </w:rPr>
        <w:t>考评单位</w:t>
      </w:r>
      <w:r>
        <w:rPr>
          <w:rFonts w:hint="eastAsia" w:cs="仿宋_GB2312"/>
        </w:rPr>
        <w:t>取消评奖资格：</w:t>
      </w:r>
    </w:p>
    <w:p>
      <w:pPr>
        <w:pStyle w:val="4"/>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Fonts w:cs="仿宋_GB2312"/>
          <w:sz w:val="32"/>
        </w:rPr>
      </w:pPr>
      <w:r>
        <w:rPr>
          <w:rFonts w:hint="eastAsia" w:cs="仿宋_GB2312"/>
          <w:sz w:val="32"/>
        </w:rPr>
        <w:t>1</w:t>
      </w:r>
      <w:r>
        <w:rPr>
          <w:rFonts w:hint="eastAsia" w:cs="仿宋_GB2312"/>
          <w:sz w:val="32"/>
          <w:lang w:val="en-US" w:eastAsia="zh-CN"/>
        </w:rPr>
        <w:t>.</w:t>
      </w:r>
      <w:r>
        <w:rPr>
          <w:rFonts w:hint="eastAsia" w:cs="仿宋_GB2312"/>
          <w:sz w:val="32"/>
        </w:rPr>
        <w:t>在金融运行过程中，由于未及时采取有效防范和化解风险措施，发生群访群诉事件，导致辖区金融不稳定的情形；</w:t>
      </w:r>
    </w:p>
    <w:p>
      <w:pPr>
        <w:pStyle w:val="4"/>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Fonts w:cs="仿宋_GB2312"/>
          <w:sz w:val="32"/>
        </w:rPr>
      </w:pPr>
      <w:r>
        <w:rPr>
          <w:rFonts w:hint="eastAsia" w:cs="仿宋_GB2312"/>
          <w:sz w:val="32"/>
        </w:rPr>
        <w:t>2</w:t>
      </w:r>
      <w:r>
        <w:rPr>
          <w:rFonts w:hint="eastAsia" w:cs="仿宋_GB2312"/>
          <w:sz w:val="32"/>
          <w:lang w:val="en-US" w:eastAsia="zh-CN"/>
        </w:rPr>
        <w:t>.</w:t>
      </w:r>
      <w:r>
        <w:rPr>
          <w:rFonts w:hint="eastAsia" w:cs="仿宋_GB2312"/>
          <w:sz w:val="32"/>
        </w:rPr>
        <w:t>机构班子成员涉嫌重大违纪、经济犯罪、刑事案件的情形；</w:t>
      </w:r>
    </w:p>
    <w:p>
      <w:pPr>
        <w:pStyle w:val="4"/>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Fonts w:cs="仿宋_GB2312"/>
          <w:sz w:val="32"/>
        </w:rPr>
      </w:pPr>
      <w:r>
        <w:rPr>
          <w:rFonts w:hint="eastAsia" w:cs="仿宋_GB2312"/>
          <w:sz w:val="32"/>
        </w:rPr>
        <w:t>3</w:t>
      </w:r>
      <w:r>
        <w:rPr>
          <w:rFonts w:hint="eastAsia" w:cs="仿宋_GB2312"/>
          <w:sz w:val="32"/>
          <w:lang w:val="en-US" w:eastAsia="zh-CN"/>
        </w:rPr>
        <w:t>.</w:t>
      </w:r>
      <w:r>
        <w:rPr>
          <w:rFonts w:hint="eastAsia" w:cs="仿宋_GB2312"/>
          <w:sz w:val="32"/>
        </w:rPr>
        <w:t>机构工作人员和雇佣经纪人，扩大产品收益宣传，以欺骗、违规手段招揽客户、营销产品，造成投诉较多、恶劣影响或群体性事件的；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rPr>
      </w:pPr>
      <w:r>
        <w:rPr>
          <w:rFonts w:hint="eastAsia" w:cs="仿宋_GB2312"/>
        </w:rPr>
        <w:t>4</w:t>
      </w:r>
      <w:r>
        <w:rPr>
          <w:rFonts w:hint="eastAsia" w:cs="仿宋_GB2312"/>
          <w:lang w:val="en-US" w:eastAsia="zh-CN"/>
        </w:rPr>
        <w:t>.</w:t>
      </w:r>
      <w:r>
        <w:rPr>
          <w:rFonts w:hint="eastAsia" w:cs="仿宋_GB2312"/>
        </w:rPr>
        <w:t>提供虚假资料的。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楷体_GB2312" w:eastAsia="楷体_GB2312" w:cs="楷体_GB2312"/>
          <w:kern w:val="0"/>
        </w:rPr>
      </w:pPr>
      <w:r>
        <w:rPr>
          <w:rFonts w:hint="eastAsia" w:ascii="楷体_GB2312" w:eastAsia="楷体_GB2312" w:cs="楷体_GB2312"/>
          <w:kern w:val="0"/>
        </w:rPr>
        <w:t>（二）非银行业金融机构考评标准</w:t>
      </w:r>
    </w:p>
    <w:p>
      <w:pPr>
        <w:pStyle w:val="4"/>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sz w:val="32"/>
        </w:rPr>
        <w:t>保险业金融机构考评内容主要包括：稳定增长、经济补偿、工作衔接、合规经营和其他项目，具体考评内容及计分方法见附件2。</w:t>
      </w:r>
    </w:p>
    <w:p>
      <w:pPr>
        <w:pStyle w:val="4"/>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sz w:val="32"/>
        </w:rPr>
        <w:t>证券业金融机构考评内容主要包括：经纪业务、投行业务、挂牌上市、工作衔接和合规经营具体考评内容及计分方法见附件3。</w:t>
      </w:r>
    </w:p>
    <w:p>
      <w:pPr>
        <w:pStyle w:val="4"/>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sz w:val="32"/>
        </w:rPr>
        <w:t>财务公司考评内容主要包括：业务开展、工作衔接和其他项目，具体考评内容及计分方法见附件4。</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eastAsia="黑体"/>
          <w:snapToGrid w:val="0"/>
          <w:kern w:val="0"/>
        </w:rPr>
      </w:pPr>
      <w:r>
        <w:rPr>
          <w:rFonts w:hint="eastAsia" w:ascii="楷体_GB2312" w:eastAsia="楷体_GB2312" w:cs="楷体_GB2312"/>
          <w:kern w:val="0"/>
        </w:rPr>
        <w:t>（三）地方金融组织考评标准</w:t>
      </w:r>
    </w:p>
    <w:p>
      <w:pPr>
        <w:pStyle w:val="4"/>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sz w:val="32"/>
        </w:rPr>
        <w:t>小额贷款公司考评内容主要包括：监管评级、业务考核、工作衔接和加分项，具体考评内容及计分方法见附件5。</w:t>
      </w:r>
    </w:p>
    <w:p>
      <w:pPr>
        <w:pStyle w:val="4"/>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sz w:val="32"/>
        </w:rPr>
        <w:t>融资担保公司考评内容主要包括：业务开展情况、工作衔接和纳税贡献，具体考评内容及计分方法见附件6。</w:t>
      </w:r>
    </w:p>
    <w:p>
      <w:pPr>
        <w:pStyle w:val="4"/>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cs="仿宋_GB2312"/>
          <w:sz w:val="32"/>
        </w:rPr>
      </w:pPr>
      <w:r>
        <w:rPr>
          <w:rFonts w:hint="eastAsia" w:cs="仿宋_GB2312"/>
          <w:sz w:val="32"/>
        </w:rPr>
        <w:t>典当行考评内容主要包括：监管评级、</w:t>
      </w:r>
      <w:r>
        <w:rPr>
          <w:rFonts w:hint="eastAsia" w:cs="仿宋_GB2312"/>
          <w:sz w:val="32"/>
          <w:lang w:eastAsia="zh-CN"/>
        </w:rPr>
        <w:t>纳税贡献、</w:t>
      </w:r>
      <w:r>
        <w:rPr>
          <w:rFonts w:hint="eastAsia" w:cs="仿宋_GB2312"/>
          <w:sz w:val="32"/>
        </w:rPr>
        <w:t>业务考核</w:t>
      </w:r>
      <w:r>
        <w:rPr>
          <w:rFonts w:hint="eastAsia" w:cs="仿宋_GB2312"/>
          <w:sz w:val="32"/>
          <w:lang w:eastAsia="zh-CN"/>
        </w:rPr>
        <w:t>和</w:t>
      </w:r>
      <w:r>
        <w:rPr>
          <w:rFonts w:hint="eastAsia" w:cs="仿宋_GB2312"/>
          <w:sz w:val="32"/>
        </w:rPr>
        <w:t>工作衔接，具体考评内容及计分方法见附件7。</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eastAsia="黑体" w:cs="黑体"/>
        </w:rPr>
      </w:pPr>
      <w:r>
        <w:rPr>
          <w:rFonts w:hint="eastAsia" w:ascii="黑体" w:eastAsia="黑体" w:cs="黑体"/>
        </w:rPr>
        <w:t>三、考评结果的运用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snapToGrid w:val="0"/>
          <w:kern w:val="0"/>
        </w:rPr>
      </w:pPr>
      <w:r>
        <w:rPr>
          <w:rFonts w:hint="eastAsia" w:ascii="楷体_GB2312" w:eastAsia="楷体_GB2312"/>
          <w:snapToGrid w:val="0"/>
          <w:kern w:val="0"/>
        </w:rPr>
        <w:t>（一）考评结果公布。</w:t>
      </w:r>
      <w:r>
        <w:rPr>
          <w:rFonts w:hint="eastAsia"/>
          <w:snapToGrid w:val="0"/>
          <w:kern w:val="0"/>
        </w:rPr>
        <w:t>对金融机构（地方金融组织）支持鹿城区经济发展业绩考评先进单位由区政府发文予以公布，并由区金融办向其上级单位发函。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cs="仿宋_GB2312"/>
          <w:snapToGrid w:val="0"/>
          <w:kern w:val="0"/>
        </w:rPr>
      </w:pPr>
      <w:r>
        <w:rPr>
          <w:rFonts w:hint="eastAsia" w:ascii="楷体_GB2312" w:eastAsia="楷体_GB2312"/>
          <w:snapToGrid w:val="0"/>
          <w:kern w:val="0"/>
        </w:rPr>
        <w:t>（</w:t>
      </w:r>
      <w:r>
        <w:rPr>
          <w:rFonts w:hint="eastAsia" w:ascii="楷体_GB2312" w:eastAsia="楷体_GB2312"/>
          <w:snapToGrid w:val="0"/>
          <w:kern w:val="0"/>
          <w:lang w:eastAsia="zh-CN"/>
        </w:rPr>
        <w:t>二</w:t>
      </w:r>
      <w:r>
        <w:rPr>
          <w:rFonts w:hint="eastAsia" w:ascii="楷体_GB2312" w:eastAsia="楷体_GB2312"/>
          <w:snapToGrid w:val="0"/>
          <w:kern w:val="0"/>
        </w:rPr>
        <w:t>）公款竞争性存放挂钩。</w:t>
      </w:r>
      <w:r>
        <w:rPr>
          <w:rFonts w:hint="eastAsia" w:cs="仿宋_GB2312"/>
          <w:snapToGrid w:val="0"/>
          <w:kern w:val="0"/>
        </w:rPr>
        <w:t>银行业考评结果指标作为公款竞争性存放的重要依据。其中，金融风险化解考绩分作为下一年度区财政局专户资金竞争性存放评分的“贷款不良率指标得分”。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cs="仿宋_GB2312"/>
          <w:snapToGrid w:val="0"/>
          <w:kern w:val="0"/>
        </w:rPr>
      </w:pPr>
      <w:r>
        <w:rPr>
          <w:rFonts w:hint="eastAsia" w:ascii="楷体_GB2312" w:eastAsia="楷体_GB2312"/>
          <w:snapToGrid w:val="0"/>
          <w:kern w:val="0"/>
        </w:rPr>
        <w:t>（</w:t>
      </w:r>
      <w:r>
        <w:rPr>
          <w:rFonts w:hint="eastAsia" w:ascii="楷体_GB2312" w:eastAsia="楷体_GB2312"/>
          <w:snapToGrid w:val="0"/>
          <w:kern w:val="0"/>
          <w:lang w:eastAsia="zh-CN"/>
        </w:rPr>
        <w:t>三</w:t>
      </w:r>
      <w:r>
        <w:rPr>
          <w:rFonts w:hint="eastAsia" w:ascii="楷体_GB2312" w:eastAsia="楷体_GB2312"/>
          <w:snapToGrid w:val="0"/>
          <w:kern w:val="0"/>
        </w:rPr>
        <w:t>）惩罚措施。</w:t>
      </w:r>
      <w:r>
        <w:rPr>
          <w:rFonts w:hint="eastAsia" w:cs="仿宋_GB2312"/>
          <w:snapToGrid w:val="0"/>
          <w:kern w:val="0"/>
        </w:rPr>
        <w:t>对措施不当，发生严重影响区域经济金融稳定风险事件的</w:t>
      </w:r>
      <w:r>
        <w:rPr>
          <w:rFonts w:hint="eastAsia" w:cs="仿宋_GB2312"/>
          <w:snapToGrid w:val="0"/>
          <w:kern w:val="0"/>
          <w:lang w:eastAsia="zh-CN"/>
        </w:rPr>
        <w:t>金融</w:t>
      </w:r>
      <w:r>
        <w:rPr>
          <w:rFonts w:hint="eastAsia" w:cs="仿宋_GB2312"/>
          <w:snapToGrid w:val="0"/>
          <w:kern w:val="0"/>
        </w:rPr>
        <w:t>机构</w:t>
      </w:r>
      <w:r>
        <w:rPr>
          <w:rFonts w:hint="eastAsia" w:cs="仿宋_GB2312"/>
          <w:snapToGrid w:val="0"/>
          <w:kern w:val="0"/>
          <w:lang w:eastAsia="zh-CN"/>
        </w:rPr>
        <w:t>（地方金融组织）</w:t>
      </w:r>
      <w:r>
        <w:rPr>
          <w:rFonts w:hint="eastAsia" w:cs="仿宋_GB2312"/>
          <w:snapToGrid w:val="0"/>
          <w:kern w:val="0"/>
        </w:rPr>
        <w:t>，并对相关</w:t>
      </w:r>
      <w:r>
        <w:rPr>
          <w:rFonts w:hint="eastAsia" w:cs="仿宋_GB2312"/>
          <w:snapToGrid w:val="0"/>
          <w:kern w:val="0"/>
          <w:lang w:eastAsia="zh-CN"/>
        </w:rPr>
        <w:t>金融</w:t>
      </w:r>
      <w:r>
        <w:rPr>
          <w:rFonts w:hint="eastAsia" w:cs="仿宋_GB2312"/>
          <w:snapToGrid w:val="0"/>
          <w:kern w:val="0"/>
        </w:rPr>
        <w:t>机构</w:t>
      </w:r>
      <w:r>
        <w:rPr>
          <w:rFonts w:hint="eastAsia" w:cs="仿宋_GB2312"/>
          <w:snapToGrid w:val="0"/>
          <w:kern w:val="0"/>
          <w:lang w:eastAsia="zh-CN"/>
        </w:rPr>
        <w:t>（地方金融组织）</w:t>
      </w:r>
      <w:r>
        <w:rPr>
          <w:rFonts w:hint="eastAsia" w:cs="仿宋_GB2312"/>
          <w:snapToGrid w:val="0"/>
          <w:kern w:val="0"/>
        </w:rPr>
        <w:t>予以通报批评。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snapToGrid w:val="0"/>
          <w:kern w:val="0"/>
        </w:rPr>
      </w:pPr>
      <w:r>
        <w:rPr>
          <w:rFonts w:hint="eastAsia" w:ascii="黑体" w:eastAsia="黑体" w:cs="黑体"/>
        </w:rPr>
        <w:t>四、考评工作组织实施和纪律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snapToGrid w:val="0"/>
          <w:kern w:val="0"/>
        </w:rPr>
      </w:pPr>
      <w:r>
        <w:rPr>
          <w:rFonts w:hint="eastAsia" w:ascii="楷体_GB2312" w:eastAsia="楷体_GB2312" w:cs="仿宋_GB2312"/>
          <w:snapToGrid w:val="0"/>
          <w:kern w:val="0"/>
        </w:rPr>
        <w:t>（一）明确考绩责任。</w:t>
      </w:r>
      <w:r>
        <w:rPr>
          <w:rFonts w:hint="eastAsia" w:cs="仿宋_GB2312"/>
          <w:snapToGrid w:val="0"/>
          <w:kern w:val="0"/>
        </w:rPr>
        <w:t>区金融办与区财政局依据</w:t>
      </w:r>
      <w:r>
        <w:rPr>
          <w:rFonts w:hint="eastAsia"/>
        </w:rPr>
        <w:t>《金融机构（地方金融组织）支持鹿城区经济发展业绩考评奖励办法》和本细则</w:t>
      </w:r>
      <w:r>
        <w:rPr>
          <w:rFonts w:hint="eastAsia" w:cs="仿宋_GB2312"/>
          <w:snapToGrid w:val="0"/>
          <w:kern w:val="0"/>
        </w:rPr>
        <w:t>，认真审核把关，汇总评分，其结果需报区政府审批。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rPr>
      </w:pPr>
      <w:r>
        <w:rPr>
          <w:rFonts w:hint="eastAsia" w:ascii="楷体_GB2312" w:eastAsia="楷体_GB2312" w:cs="仿宋_GB2312"/>
          <w:snapToGrid w:val="0"/>
          <w:kern w:val="0"/>
        </w:rPr>
        <w:t>（二）突出过程管理。</w:t>
      </w:r>
      <w:r>
        <w:rPr>
          <w:rFonts w:hint="eastAsia" w:cs="仿宋_GB2312"/>
        </w:rPr>
        <w:t>各金融机构和地方金融组织应按照考评奖励评分标准于20</w:t>
      </w:r>
      <w:r>
        <w:rPr>
          <w:rFonts w:hint="eastAsia" w:cs="仿宋_GB2312"/>
          <w:lang w:val="en-US" w:eastAsia="zh-CN"/>
        </w:rPr>
        <w:t>22</w:t>
      </w:r>
      <w:r>
        <w:rPr>
          <w:rFonts w:hint="eastAsia" w:cs="仿宋_GB2312"/>
        </w:rPr>
        <w:t>年1月</w:t>
      </w:r>
      <w:r>
        <w:rPr>
          <w:rFonts w:hint="eastAsia" w:cs="仿宋_GB2312"/>
          <w:lang w:val="en-US" w:eastAsia="zh-CN"/>
        </w:rPr>
        <w:t>10</w:t>
      </w:r>
      <w:r>
        <w:rPr>
          <w:rFonts w:hint="eastAsia" w:cs="仿宋_GB2312"/>
        </w:rPr>
        <w:t>日前向区金融办报送相关考评表及其他考评材料。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仿宋_GB2312"/>
          <w:snapToGrid w:val="0"/>
          <w:kern w:val="0"/>
        </w:rPr>
      </w:pPr>
      <w:r>
        <w:rPr>
          <w:rFonts w:hint="eastAsia" w:ascii="楷体_GB2312" w:eastAsia="楷体_GB2312" w:cs="仿宋_GB2312"/>
          <w:snapToGrid w:val="0"/>
          <w:kern w:val="0"/>
        </w:rPr>
        <w:t>（三）严肃考评纪律。</w:t>
      </w:r>
      <w:r>
        <w:rPr>
          <w:rFonts w:hint="eastAsia" w:cs="仿宋_GB2312"/>
          <w:snapToGrid w:val="0"/>
          <w:kern w:val="0"/>
        </w:rPr>
        <w:t>考评单位要坚持实事求是，按要求报送相关数据和材料；考评牵头单位和责任单位要严格考核程序和考核标准，做好相关考核和督查工作；考评结果出现失误的，要视情况追究相关责任，并扣除责任单位一定的工作绩效考评分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snapToGrid w:val="0"/>
          <w:kern w:val="0"/>
        </w:rPr>
      </w:pPr>
    </w:p>
    <w:p>
      <w:pPr>
        <w:pStyle w:val="4"/>
        <w:keepNext w:val="0"/>
        <w:keepLines w:val="0"/>
        <w:pageBreakBefore w:val="0"/>
        <w:widowControl/>
        <w:tabs>
          <w:tab w:val="left" w:pos="1680"/>
        </w:tabs>
        <w:kinsoku/>
        <w:wordWrap/>
        <w:overflowPunct/>
        <w:topLinePunct w:val="0"/>
        <w:autoSpaceDE/>
        <w:autoSpaceDN/>
        <w:bidi w:val="0"/>
        <w:spacing w:before="0" w:beforeAutospacing="0" w:after="0" w:afterAutospacing="0" w:line="600" w:lineRule="exact"/>
        <w:ind w:left="1941" w:leftChars="200" w:hanging="1301" w:hangingChars="412"/>
        <w:jc w:val="both"/>
        <w:textAlignment w:val="auto"/>
        <w:rPr>
          <w:rFonts w:hint="eastAsia"/>
          <w:w w:val="99"/>
          <w:kern w:val="2"/>
          <w:sz w:val="32"/>
        </w:rPr>
      </w:pPr>
      <w:r>
        <w:rPr>
          <w:rFonts w:hint="eastAsia" w:hAnsi="宋体" w:cs="宋体"/>
          <w:w w:val="99"/>
          <w:kern w:val="2"/>
          <w:sz w:val="32"/>
        </w:rPr>
        <w:t>附件</w:t>
      </w:r>
      <w:r>
        <w:rPr>
          <w:rFonts w:hint="eastAsia"/>
          <w:w w:val="99"/>
          <w:kern w:val="2"/>
          <w:sz w:val="32"/>
          <w:lang w:val="en-US" w:eastAsia="zh-CN"/>
        </w:rPr>
        <w:t>：1.银行</w:t>
      </w:r>
      <w:r>
        <w:rPr>
          <w:rFonts w:hint="eastAsia"/>
          <w:w w:val="99"/>
          <w:kern w:val="2"/>
          <w:sz w:val="32"/>
        </w:rPr>
        <w:t>业金融机构支持鹿城区经济发展业绩考评</w:t>
      </w:r>
    </w:p>
    <w:p>
      <w:pPr>
        <w:pStyle w:val="4"/>
        <w:keepNext w:val="0"/>
        <w:keepLines w:val="0"/>
        <w:pageBreakBefore w:val="0"/>
        <w:widowControl/>
        <w:tabs>
          <w:tab w:val="left" w:pos="1680"/>
        </w:tabs>
        <w:kinsoku/>
        <w:wordWrap/>
        <w:overflowPunct/>
        <w:topLinePunct w:val="0"/>
        <w:autoSpaceDE/>
        <w:autoSpaceDN/>
        <w:bidi w:val="0"/>
        <w:spacing w:before="0" w:beforeAutospacing="0" w:after="0" w:afterAutospacing="0" w:line="600" w:lineRule="exact"/>
        <w:ind w:left="1944" w:leftChars="500" w:hanging="344" w:hangingChars="109"/>
        <w:jc w:val="both"/>
        <w:textAlignment w:val="auto"/>
        <w:rPr>
          <w:w w:val="99"/>
          <w:kern w:val="2"/>
          <w:sz w:val="32"/>
        </w:rPr>
      </w:pPr>
      <w:r>
        <w:rPr>
          <w:rFonts w:hint="eastAsia"/>
          <w:w w:val="99"/>
          <w:kern w:val="2"/>
          <w:sz w:val="32"/>
          <w:lang w:val="en-US" w:eastAsia="zh-CN"/>
        </w:rPr>
        <w:t>2.</w:t>
      </w:r>
      <w:r>
        <w:rPr>
          <w:rFonts w:hint="eastAsia"/>
          <w:w w:val="99"/>
          <w:kern w:val="2"/>
          <w:sz w:val="32"/>
        </w:rPr>
        <w:t>保险业金融机构支持鹿城区经济发展业绩考评表</w:t>
      </w:r>
    </w:p>
    <w:p>
      <w:pPr>
        <w:pStyle w:val="4"/>
        <w:keepNext w:val="0"/>
        <w:keepLines w:val="0"/>
        <w:pageBreakBefore w:val="0"/>
        <w:widowControl/>
        <w:kinsoku/>
        <w:wordWrap/>
        <w:overflowPunct/>
        <w:topLinePunct w:val="0"/>
        <w:autoSpaceDE/>
        <w:autoSpaceDN/>
        <w:bidi w:val="0"/>
        <w:spacing w:before="0" w:beforeAutospacing="0" w:after="0" w:afterAutospacing="0" w:line="600" w:lineRule="exact"/>
        <w:ind w:left="1884" w:leftChars="500" w:hanging="284" w:hangingChars="90"/>
        <w:jc w:val="both"/>
        <w:textAlignment w:val="auto"/>
        <w:rPr>
          <w:w w:val="99"/>
          <w:kern w:val="2"/>
          <w:sz w:val="32"/>
        </w:rPr>
      </w:pPr>
      <w:r>
        <w:rPr>
          <w:rFonts w:hint="eastAsia"/>
          <w:w w:val="99"/>
          <w:kern w:val="2"/>
          <w:sz w:val="32"/>
          <w:lang w:val="en-US" w:eastAsia="zh-CN"/>
        </w:rPr>
        <w:t>3.</w:t>
      </w:r>
      <w:r>
        <w:rPr>
          <w:rFonts w:hint="eastAsia"/>
          <w:w w:val="99"/>
          <w:kern w:val="2"/>
          <w:sz w:val="32"/>
        </w:rPr>
        <w:t>证券业金融机构支持鹿城区经济发展业绩考评表</w:t>
      </w:r>
    </w:p>
    <w:p>
      <w:pPr>
        <w:pStyle w:val="4"/>
        <w:keepNext w:val="0"/>
        <w:keepLines w:val="0"/>
        <w:pageBreakBefore w:val="0"/>
        <w:widowControl/>
        <w:kinsoku/>
        <w:wordWrap/>
        <w:overflowPunct/>
        <w:topLinePunct w:val="0"/>
        <w:autoSpaceDE/>
        <w:autoSpaceDN/>
        <w:bidi w:val="0"/>
        <w:spacing w:before="0" w:beforeAutospacing="0" w:after="0" w:afterAutospacing="0" w:line="600" w:lineRule="exact"/>
        <w:ind w:left="1988" w:leftChars="500" w:hanging="388" w:hangingChars="123"/>
        <w:jc w:val="both"/>
        <w:textAlignment w:val="auto"/>
        <w:rPr>
          <w:w w:val="99"/>
          <w:kern w:val="2"/>
          <w:sz w:val="32"/>
        </w:rPr>
      </w:pPr>
      <w:r>
        <w:rPr>
          <w:rFonts w:hint="eastAsia"/>
          <w:w w:val="99"/>
          <w:kern w:val="2"/>
          <w:sz w:val="32"/>
          <w:lang w:val="en-US" w:eastAsia="zh-CN"/>
        </w:rPr>
        <w:t>4.</w:t>
      </w:r>
      <w:r>
        <w:rPr>
          <w:rFonts w:hint="eastAsia"/>
          <w:w w:val="99"/>
          <w:kern w:val="2"/>
          <w:sz w:val="32"/>
        </w:rPr>
        <w:t>财务公司支持鹿城区经济发展业绩考评表</w:t>
      </w:r>
    </w:p>
    <w:p>
      <w:pPr>
        <w:pStyle w:val="4"/>
        <w:keepNext w:val="0"/>
        <w:keepLines w:val="0"/>
        <w:pageBreakBefore w:val="0"/>
        <w:widowControl/>
        <w:kinsoku/>
        <w:wordWrap/>
        <w:overflowPunct/>
        <w:topLinePunct w:val="0"/>
        <w:autoSpaceDE/>
        <w:autoSpaceDN/>
        <w:bidi w:val="0"/>
        <w:spacing w:before="0" w:beforeAutospacing="0" w:after="0" w:afterAutospacing="0" w:line="600" w:lineRule="exact"/>
        <w:ind w:firstLine="1580" w:firstLineChars="500"/>
        <w:jc w:val="both"/>
        <w:textAlignment w:val="auto"/>
        <w:rPr>
          <w:w w:val="99"/>
          <w:kern w:val="2"/>
          <w:sz w:val="32"/>
        </w:rPr>
      </w:pPr>
      <w:r>
        <w:rPr>
          <w:rFonts w:hint="eastAsia"/>
          <w:w w:val="99"/>
          <w:kern w:val="2"/>
          <w:sz w:val="32"/>
          <w:lang w:val="en-US" w:eastAsia="zh-CN"/>
        </w:rPr>
        <w:t>5.</w:t>
      </w:r>
      <w:r>
        <w:rPr>
          <w:rFonts w:hint="eastAsia"/>
          <w:w w:val="99"/>
          <w:kern w:val="2"/>
          <w:sz w:val="32"/>
        </w:rPr>
        <w:t>小额贷款公司支持鹿城区经济发展业绩考评表</w:t>
      </w:r>
    </w:p>
    <w:p>
      <w:pPr>
        <w:pStyle w:val="4"/>
        <w:keepNext w:val="0"/>
        <w:keepLines w:val="0"/>
        <w:pageBreakBefore w:val="0"/>
        <w:widowControl/>
        <w:kinsoku/>
        <w:wordWrap/>
        <w:overflowPunct/>
        <w:topLinePunct w:val="0"/>
        <w:autoSpaceDE/>
        <w:autoSpaceDN/>
        <w:bidi w:val="0"/>
        <w:spacing w:before="0" w:beforeAutospacing="0" w:after="0" w:afterAutospacing="0" w:line="600" w:lineRule="exact"/>
        <w:ind w:firstLine="1580" w:firstLineChars="500"/>
        <w:jc w:val="both"/>
        <w:textAlignment w:val="auto"/>
        <w:rPr>
          <w:w w:val="99"/>
          <w:kern w:val="2"/>
          <w:sz w:val="32"/>
        </w:rPr>
      </w:pPr>
      <w:r>
        <w:rPr>
          <w:rFonts w:hint="eastAsia"/>
          <w:w w:val="99"/>
          <w:kern w:val="2"/>
          <w:sz w:val="32"/>
          <w:lang w:val="en-US" w:eastAsia="zh-CN"/>
        </w:rPr>
        <w:t>6.</w:t>
      </w:r>
      <w:r>
        <w:rPr>
          <w:rFonts w:hint="eastAsia"/>
          <w:w w:val="99"/>
          <w:kern w:val="2"/>
          <w:sz w:val="32"/>
        </w:rPr>
        <w:t>融资担保公司支持鹿城区经济发展业绩考评表</w:t>
      </w:r>
    </w:p>
    <w:p>
      <w:pPr>
        <w:keepNext w:val="0"/>
        <w:keepLines w:val="0"/>
        <w:pageBreakBefore w:val="0"/>
        <w:kinsoku/>
        <w:wordWrap/>
        <w:overflowPunct/>
        <w:topLinePunct w:val="0"/>
        <w:autoSpaceDE/>
        <w:autoSpaceDN/>
        <w:bidi w:val="0"/>
        <w:adjustRightInd w:val="0"/>
        <w:snapToGrid w:val="0"/>
        <w:spacing w:line="600" w:lineRule="exact"/>
        <w:ind w:firstLine="1580" w:firstLineChars="500"/>
        <w:textAlignment w:val="auto"/>
        <w:rPr>
          <w:snapToGrid w:val="0"/>
          <w:w w:val="99"/>
          <w:kern w:val="0"/>
        </w:rPr>
        <w:sectPr>
          <w:footerReference r:id="rId3" w:type="default"/>
          <w:footerReference r:id="rId4" w:type="even"/>
          <w:pgSz w:w="11906" w:h="16838"/>
          <w:pgMar w:top="1418" w:right="1531" w:bottom="1418" w:left="1531" w:header="851" w:footer="992" w:gutter="0"/>
          <w:pgBorders>
            <w:top w:val="none" w:sz="0" w:space="0"/>
            <w:left w:val="none" w:sz="0" w:space="0"/>
            <w:bottom w:val="none" w:sz="0" w:space="0"/>
            <w:right w:val="none" w:sz="0" w:space="0"/>
          </w:pgBorders>
          <w:pgNumType w:fmt="numberInDash"/>
          <w:cols w:space="720" w:num="1"/>
          <w:docGrid w:type="linesAndChars" w:linePitch="436" w:charSpace="0"/>
        </w:sectPr>
      </w:pPr>
      <w:r>
        <w:rPr>
          <w:rFonts w:hint="eastAsia"/>
          <w:w w:val="99"/>
          <w:lang w:val="en-US" w:eastAsia="zh-CN"/>
        </w:rPr>
        <w:t>7.</w:t>
      </w:r>
      <w:r>
        <w:rPr>
          <w:rFonts w:hint="eastAsia"/>
          <w:w w:val="99"/>
        </w:rPr>
        <w:t>典当行支持鹿城区经济发展业绩考评表</w:t>
      </w:r>
    </w:p>
    <w:p>
      <w:pPr>
        <w:adjustRightInd w:val="0"/>
        <w:snapToGrid w:val="0"/>
        <w:spacing w:line="580" w:lineRule="exact"/>
        <w:rPr>
          <w:rFonts w:ascii="黑体" w:eastAsia="黑体"/>
        </w:rPr>
      </w:pPr>
      <w:r>
        <w:rPr>
          <w:rFonts w:hint="eastAsia" w:ascii="黑体" w:eastAsia="黑体"/>
        </w:rPr>
        <w:t>附件</w:t>
      </w:r>
      <w:r>
        <w:rPr>
          <w:rFonts w:ascii="黑体" w:eastAsia="黑体"/>
        </w:rPr>
        <w:t>1</w:t>
      </w:r>
    </w:p>
    <w:p>
      <w:pPr>
        <w:adjustRightInd w:val="0"/>
        <w:snapToGrid w:val="0"/>
        <w:spacing w:line="580" w:lineRule="exact"/>
        <w:jc w:val="center"/>
        <w:rPr>
          <w:rFonts w:ascii="小标宋" w:eastAsia="小标宋"/>
          <w:sz w:val="44"/>
          <w:szCs w:val="44"/>
        </w:rPr>
      </w:pPr>
      <w:r>
        <w:rPr>
          <w:rFonts w:hint="eastAsia" w:ascii="小标宋" w:eastAsia="小标宋"/>
          <w:sz w:val="44"/>
          <w:szCs w:val="44"/>
        </w:rPr>
        <w:t>银行业金融机构支持鹿城区经济发展业绩考评表</w:t>
      </w:r>
    </w:p>
    <w:p>
      <w:pPr>
        <w:adjustRightInd w:val="0"/>
        <w:snapToGrid w:val="0"/>
        <w:spacing w:line="460" w:lineRule="exact"/>
        <w:jc w:val="center"/>
        <w:rPr>
          <w:rFonts w:ascii="小标宋" w:eastAsia="小标宋"/>
          <w:sz w:val="44"/>
          <w:szCs w:val="44"/>
        </w:rPr>
      </w:pPr>
    </w:p>
    <w:tbl>
      <w:tblPr>
        <w:tblStyle w:val="5"/>
        <w:tblW w:w="14454" w:type="dxa"/>
        <w:jc w:val="center"/>
        <w:tblLayout w:type="fixed"/>
        <w:tblCellMar>
          <w:top w:w="0" w:type="dxa"/>
          <w:left w:w="108" w:type="dxa"/>
          <w:bottom w:w="0" w:type="dxa"/>
          <w:right w:w="108" w:type="dxa"/>
        </w:tblCellMar>
      </w:tblPr>
      <w:tblGrid>
        <w:gridCol w:w="697"/>
        <w:gridCol w:w="1096"/>
        <w:gridCol w:w="1486"/>
        <w:gridCol w:w="1031"/>
        <w:gridCol w:w="10144"/>
      </w:tblGrid>
      <w:tr>
        <w:tblPrEx>
          <w:tblCellMar>
            <w:top w:w="0" w:type="dxa"/>
            <w:left w:w="108" w:type="dxa"/>
            <w:bottom w:w="0" w:type="dxa"/>
            <w:right w:w="108" w:type="dxa"/>
          </w:tblCellMar>
        </w:tblPrEx>
        <w:trPr>
          <w:trHeight w:val="386" w:hRule="exact"/>
          <w:tblHeader/>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黑体" w:eastAsia="黑体"/>
                <w:kern w:val="0"/>
                <w:sz w:val="24"/>
                <w:szCs w:val="24"/>
              </w:rPr>
            </w:pPr>
            <w:r>
              <w:rPr>
                <w:rFonts w:hint="eastAsia" w:ascii="黑体" w:eastAsia="黑体"/>
                <w:kern w:val="0"/>
                <w:sz w:val="24"/>
                <w:szCs w:val="24"/>
              </w:rPr>
              <w:t>序号</w:t>
            </w:r>
          </w:p>
        </w:tc>
        <w:tc>
          <w:tcPr>
            <w:tcW w:w="109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黑体" w:eastAsia="黑体"/>
                <w:kern w:val="0"/>
                <w:sz w:val="24"/>
                <w:szCs w:val="24"/>
              </w:rPr>
            </w:pPr>
            <w:r>
              <w:rPr>
                <w:rFonts w:hint="eastAsia" w:ascii="黑体" w:eastAsia="黑体"/>
                <w:kern w:val="0"/>
                <w:sz w:val="24"/>
                <w:szCs w:val="24"/>
              </w:rPr>
              <w:t>项目</w:t>
            </w:r>
          </w:p>
        </w:tc>
        <w:tc>
          <w:tcPr>
            <w:tcW w:w="148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黑体" w:eastAsia="黑体"/>
                <w:kern w:val="0"/>
                <w:sz w:val="24"/>
                <w:szCs w:val="24"/>
              </w:rPr>
            </w:pPr>
            <w:r>
              <w:rPr>
                <w:rFonts w:hint="eastAsia" w:ascii="黑体" w:eastAsia="黑体"/>
                <w:kern w:val="0"/>
                <w:sz w:val="24"/>
                <w:szCs w:val="24"/>
              </w:rPr>
              <w:t>具体内容</w:t>
            </w:r>
          </w:p>
        </w:tc>
        <w:tc>
          <w:tcPr>
            <w:tcW w:w="103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黑体" w:eastAsia="黑体"/>
                <w:kern w:val="0"/>
                <w:sz w:val="24"/>
                <w:szCs w:val="24"/>
              </w:rPr>
            </w:pPr>
            <w:r>
              <w:rPr>
                <w:rFonts w:hint="eastAsia" w:ascii="黑体" w:eastAsia="黑体"/>
                <w:kern w:val="0"/>
                <w:sz w:val="24"/>
                <w:szCs w:val="24"/>
              </w:rPr>
              <w:t>标准分</w:t>
            </w:r>
          </w:p>
        </w:tc>
        <w:tc>
          <w:tcPr>
            <w:tcW w:w="10144"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黑体" w:eastAsia="黑体"/>
                <w:kern w:val="0"/>
                <w:sz w:val="24"/>
                <w:szCs w:val="24"/>
              </w:rPr>
            </w:pPr>
            <w:r>
              <w:rPr>
                <w:rFonts w:hint="eastAsia" w:ascii="黑体" w:eastAsia="黑体"/>
                <w:kern w:val="0"/>
                <w:sz w:val="24"/>
                <w:szCs w:val="24"/>
              </w:rPr>
              <w:t>评分标准</w:t>
            </w:r>
          </w:p>
        </w:tc>
      </w:tr>
      <w:tr>
        <w:tblPrEx>
          <w:tblCellMar>
            <w:top w:w="0" w:type="dxa"/>
            <w:left w:w="108" w:type="dxa"/>
            <w:bottom w:w="0" w:type="dxa"/>
            <w:right w:w="108" w:type="dxa"/>
          </w:tblCellMar>
        </w:tblPrEx>
        <w:trPr>
          <w:trHeight w:val="950" w:hRule="atLeast"/>
          <w:jc w:val="center"/>
        </w:trPr>
        <w:tc>
          <w:tcPr>
            <w:tcW w:w="697"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r>
              <w:rPr>
                <w:rFonts w:hint="eastAsia"/>
                <w:b w:val="0"/>
                <w:bCs w:val="0"/>
                <w:kern w:val="0"/>
                <w:sz w:val="21"/>
                <w:szCs w:val="21"/>
              </w:rPr>
              <w:t>1</w:t>
            </w:r>
          </w:p>
        </w:tc>
        <w:tc>
          <w:tcPr>
            <w:tcW w:w="109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rPr>
            </w:pPr>
            <w:r>
              <w:rPr>
                <w:rFonts w:hint="eastAsia"/>
                <w:b w:val="0"/>
                <w:bCs w:val="0"/>
                <w:kern w:val="0"/>
                <w:sz w:val="21"/>
                <w:szCs w:val="21"/>
              </w:rPr>
              <w:t>项目贷款</w:t>
            </w:r>
          </w:p>
        </w:tc>
        <w:tc>
          <w:tcPr>
            <w:tcW w:w="14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rPr>
              <w:t>项目贷款年度月均余额</w:t>
            </w:r>
          </w:p>
        </w:tc>
        <w:tc>
          <w:tcPr>
            <w:tcW w:w="103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rPr>
              <w:t>20分</w:t>
            </w:r>
          </w:p>
        </w:tc>
        <w:tc>
          <w:tcPr>
            <w:tcW w:w="101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sz w:val="21"/>
                <w:szCs w:val="21"/>
              </w:rPr>
            </w:pPr>
            <w:r>
              <w:rPr>
                <w:rFonts w:hint="eastAsia"/>
                <w:b w:val="0"/>
                <w:bCs w:val="0"/>
                <w:sz w:val="21"/>
                <w:szCs w:val="21"/>
              </w:rPr>
              <w:t>以全年月均项目贷款余额为依据，年度月均余额8亿元（均为人民币，下同）及以上的，得20分；年度月均余额不足8亿元，则按贷款月均余额与8亿元的比例计算得分，分数取小数点后2位；该项贷款月均余额为零的金融机构不得分。</w:t>
            </w:r>
          </w:p>
        </w:tc>
      </w:tr>
      <w:tr>
        <w:tblPrEx>
          <w:tblCellMar>
            <w:top w:w="0" w:type="dxa"/>
            <w:left w:w="108" w:type="dxa"/>
            <w:bottom w:w="0" w:type="dxa"/>
            <w:right w:w="108" w:type="dxa"/>
          </w:tblCellMar>
        </w:tblPrEx>
        <w:trPr>
          <w:trHeight w:val="1290" w:hRule="atLeast"/>
          <w:jc w:val="center"/>
        </w:trPr>
        <w:tc>
          <w:tcPr>
            <w:tcW w:w="697" w:type="dxa"/>
            <w:vMerge w:val="restart"/>
            <w:tcBorders>
              <w:top w:val="single" w:color="auto" w:sz="4" w:space="0"/>
              <w:left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r>
              <w:rPr>
                <w:rFonts w:hint="eastAsia"/>
                <w:b w:val="0"/>
                <w:bCs w:val="0"/>
                <w:kern w:val="0"/>
                <w:sz w:val="21"/>
                <w:szCs w:val="21"/>
              </w:rPr>
              <w:t>2</w:t>
            </w:r>
          </w:p>
        </w:tc>
        <w:tc>
          <w:tcPr>
            <w:tcW w:w="109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b w:val="0"/>
                <w:bCs w:val="0"/>
                <w:kern w:val="0"/>
                <w:sz w:val="21"/>
                <w:szCs w:val="21"/>
                <w:lang w:eastAsia="zh-CN"/>
              </w:rPr>
            </w:pPr>
            <w:r>
              <w:rPr>
                <w:rFonts w:hint="eastAsia"/>
                <w:b w:val="0"/>
                <w:bCs w:val="0"/>
                <w:kern w:val="0"/>
                <w:sz w:val="21"/>
                <w:szCs w:val="21"/>
                <w:lang w:eastAsia="zh-CN"/>
              </w:rPr>
              <w:t>融资畅通工程</w:t>
            </w:r>
          </w:p>
        </w:tc>
        <w:tc>
          <w:tcPr>
            <w:tcW w:w="1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b w:val="0"/>
                <w:bCs w:val="0"/>
                <w:sz w:val="21"/>
                <w:szCs w:val="21"/>
                <w:lang w:eastAsia="zh-CN"/>
              </w:rPr>
            </w:pPr>
            <w:r>
              <w:rPr>
                <w:rFonts w:hint="eastAsia"/>
                <w:b w:val="0"/>
                <w:bCs w:val="0"/>
                <w:sz w:val="21"/>
                <w:szCs w:val="21"/>
                <w:lang w:eastAsia="zh-CN"/>
              </w:rPr>
              <w:t>本外币存贷款</w:t>
            </w:r>
          </w:p>
        </w:tc>
        <w:tc>
          <w:tcPr>
            <w:tcW w:w="103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lang w:val="en-US" w:eastAsia="zh-CN"/>
              </w:rPr>
              <w:t>80</w:t>
            </w:r>
            <w:r>
              <w:rPr>
                <w:rFonts w:hint="eastAsia"/>
                <w:b w:val="0"/>
                <w:bCs w:val="0"/>
                <w:sz w:val="21"/>
                <w:szCs w:val="21"/>
              </w:rPr>
              <w:t>分</w:t>
            </w:r>
          </w:p>
        </w:tc>
        <w:tc>
          <w:tcPr>
            <w:tcW w:w="101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sz w:val="21"/>
                <w:szCs w:val="21"/>
              </w:rPr>
            </w:pPr>
            <w:r>
              <w:rPr>
                <w:rFonts w:hint="eastAsia"/>
                <w:b w:val="0"/>
                <w:bCs w:val="0"/>
                <w:sz w:val="21"/>
                <w:szCs w:val="21"/>
              </w:rPr>
              <w:t>标准分</w:t>
            </w:r>
            <w:r>
              <w:rPr>
                <w:rFonts w:hint="eastAsia"/>
                <w:b w:val="0"/>
                <w:bCs w:val="0"/>
                <w:sz w:val="21"/>
                <w:szCs w:val="21"/>
                <w:lang w:val="en-US" w:eastAsia="zh-CN"/>
              </w:rPr>
              <w:t>20</w:t>
            </w:r>
            <w:r>
              <w:rPr>
                <w:rFonts w:hint="eastAsia"/>
                <w:b w:val="0"/>
                <w:bCs w:val="0"/>
                <w:sz w:val="21"/>
                <w:szCs w:val="21"/>
              </w:rPr>
              <w:t>分。</w:t>
            </w:r>
            <w:r>
              <w:rPr>
                <w:rFonts w:hint="eastAsia"/>
                <w:b w:val="0"/>
                <w:bCs w:val="0"/>
                <w:sz w:val="21"/>
                <w:szCs w:val="21"/>
                <w:highlight w:val="none"/>
                <w:lang w:eastAsia="zh-CN"/>
              </w:rPr>
              <w:t>本外币存款</w:t>
            </w:r>
            <w:r>
              <w:rPr>
                <w:rFonts w:hint="eastAsia"/>
                <w:b w:val="0"/>
                <w:bCs w:val="0"/>
                <w:sz w:val="21"/>
                <w:szCs w:val="21"/>
              </w:rPr>
              <w:t>（10分），</w:t>
            </w:r>
            <w:r>
              <w:rPr>
                <w:rFonts w:hint="eastAsia"/>
                <w:b w:val="0"/>
                <w:bCs w:val="0"/>
                <w:kern w:val="0"/>
                <w:sz w:val="21"/>
                <w:szCs w:val="21"/>
                <w:highlight w:val="none"/>
                <w:lang w:eastAsia="zh-CN"/>
              </w:rPr>
              <w:t>本外币存款目标同比</w:t>
            </w:r>
            <w:r>
              <w:rPr>
                <w:rFonts w:hint="eastAsia"/>
                <w:b w:val="0"/>
                <w:bCs w:val="0"/>
                <w:kern w:val="0"/>
                <w:sz w:val="21"/>
                <w:szCs w:val="21"/>
                <w:highlight w:val="none"/>
              </w:rPr>
              <w:t>增速</w:t>
            </w:r>
            <w:r>
              <w:rPr>
                <w:rFonts w:hint="eastAsia"/>
                <w:b w:val="0"/>
                <w:bCs w:val="0"/>
                <w:kern w:val="0"/>
                <w:sz w:val="21"/>
                <w:szCs w:val="21"/>
                <w:highlight w:val="none"/>
                <w:lang w:val="en-US" w:eastAsia="zh-CN"/>
              </w:rPr>
              <w:t>12</w:t>
            </w:r>
            <w:r>
              <w:rPr>
                <w:rFonts w:hint="eastAsia"/>
                <w:b w:val="0"/>
                <w:bCs w:val="0"/>
                <w:kern w:val="0"/>
                <w:sz w:val="21"/>
                <w:szCs w:val="21"/>
                <w:highlight w:val="none"/>
              </w:rPr>
              <w:t>%，完成目标任务得</w:t>
            </w:r>
            <w:r>
              <w:rPr>
                <w:rFonts w:hint="eastAsia"/>
                <w:b w:val="0"/>
                <w:bCs w:val="0"/>
                <w:kern w:val="0"/>
                <w:sz w:val="21"/>
                <w:szCs w:val="21"/>
                <w:highlight w:val="none"/>
                <w:lang w:val="en-US" w:eastAsia="zh-CN"/>
              </w:rPr>
              <w:t>10</w:t>
            </w:r>
            <w:r>
              <w:rPr>
                <w:rFonts w:hint="eastAsia"/>
                <w:b w:val="0"/>
                <w:bCs w:val="0"/>
                <w:kern w:val="0"/>
                <w:sz w:val="21"/>
                <w:szCs w:val="21"/>
                <w:highlight w:val="none"/>
              </w:rPr>
              <w:t>分，未完成任务的，则按照增速与目标任务的比例计算得分，增速为负数的此项不得分。</w:t>
            </w:r>
            <w:r>
              <w:rPr>
                <w:rFonts w:hint="eastAsia"/>
                <w:b w:val="0"/>
                <w:bCs w:val="0"/>
                <w:sz w:val="21"/>
                <w:szCs w:val="21"/>
                <w:highlight w:val="none"/>
                <w:lang w:eastAsia="zh-CN"/>
              </w:rPr>
              <w:t>本外币贷款</w:t>
            </w:r>
            <w:r>
              <w:rPr>
                <w:rFonts w:hint="eastAsia"/>
                <w:b w:val="0"/>
                <w:bCs w:val="0"/>
                <w:sz w:val="21"/>
                <w:szCs w:val="21"/>
              </w:rPr>
              <w:t>（10分），</w:t>
            </w:r>
            <w:r>
              <w:rPr>
                <w:rFonts w:hint="eastAsia"/>
                <w:b w:val="0"/>
                <w:bCs w:val="0"/>
                <w:kern w:val="0"/>
                <w:sz w:val="21"/>
                <w:szCs w:val="21"/>
                <w:highlight w:val="none"/>
                <w:lang w:eastAsia="zh-CN"/>
              </w:rPr>
              <w:t>本外币贷款目标同比</w:t>
            </w:r>
            <w:r>
              <w:rPr>
                <w:rFonts w:hint="eastAsia"/>
                <w:b w:val="0"/>
                <w:bCs w:val="0"/>
                <w:kern w:val="0"/>
                <w:sz w:val="21"/>
                <w:szCs w:val="21"/>
                <w:highlight w:val="none"/>
              </w:rPr>
              <w:t>增速</w:t>
            </w:r>
            <w:r>
              <w:rPr>
                <w:rFonts w:hint="eastAsia"/>
                <w:b w:val="0"/>
                <w:bCs w:val="0"/>
                <w:kern w:val="0"/>
                <w:sz w:val="21"/>
                <w:szCs w:val="21"/>
                <w:highlight w:val="none"/>
                <w:lang w:val="en-US" w:eastAsia="zh-CN"/>
              </w:rPr>
              <w:t>14</w:t>
            </w:r>
            <w:r>
              <w:rPr>
                <w:rFonts w:hint="eastAsia"/>
                <w:b w:val="0"/>
                <w:bCs w:val="0"/>
                <w:kern w:val="0"/>
                <w:sz w:val="21"/>
                <w:szCs w:val="21"/>
                <w:highlight w:val="none"/>
              </w:rPr>
              <w:t>%，完成目标任务得</w:t>
            </w:r>
            <w:r>
              <w:rPr>
                <w:rFonts w:hint="eastAsia"/>
                <w:b w:val="0"/>
                <w:bCs w:val="0"/>
                <w:kern w:val="0"/>
                <w:sz w:val="21"/>
                <w:szCs w:val="21"/>
                <w:highlight w:val="none"/>
                <w:lang w:val="en-US" w:eastAsia="zh-CN"/>
              </w:rPr>
              <w:t>10</w:t>
            </w:r>
            <w:r>
              <w:rPr>
                <w:rFonts w:hint="eastAsia"/>
                <w:b w:val="0"/>
                <w:bCs w:val="0"/>
                <w:kern w:val="0"/>
                <w:sz w:val="21"/>
                <w:szCs w:val="21"/>
                <w:highlight w:val="none"/>
              </w:rPr>
              <w:t>分，未完成任务的，则按照增速与目标任务的比例计算得分，增速为负数的此项不得分。（相关数据以《</w:t>
            </w:r>
            <w:r>
              <w:rPr>
                <w:rFonts w:hint="eastAsia"/>
                <w:b w:val="0"/>
                <w:bCs w:val="0"/>
                <w:kern w:val="0"/>
                <w:sz w:val="21"/>
                <w:szCs w:val="21"/>
                <w:highlight w:val="none"/>
                <w:lang w:eastAsia="zh-CN"/>
              </w:rPr>
              <w:t>温州市区金融机构主要金融指标</w:t>
            </w:r>
            <w:r>
              <w:rPr>
                <w:rFonts w:hint="eastAsia"/>
                <w:b w:val="0"/>
                <w:bCs w:val="0"/>
                <w:kern w:val="0"/>
                <w:sz w:val="21"/>
                <w:szCs w:val="21"/>
                <w:highlight w:val="none"/>
              </w:rPr>
              <w:t>》为准）</w:t>
            </w:r>
          </w:p>
        </w:tc>
      </w:tr>
      <w:tr>
        <w:tblPrEx>
          <w:tblCellMar>
            <w:top w:w="0" w:type="dxa"/>
            <w:left w:w="108" w:type="dxa"/>
            <w:bottom w:w="0" w:type="dxa"/>
            <w:right w:w="108" w:type="dxa"/>
          </w:tblCellMar>
        </w:tblPrEx>
        <w:trPr>
          <w:trHeight w:val="1084" w:hRule="atLeast"/>
          <w:jc w:val="center"/>
        </w:trPr>
        <w:tc>
          <w:tcPr>
            <w:tcW w:w="697" w:type="dxa"/>
            <w:vMerge w:val="continue"/>
            <w:tcBorders>
              <w:left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09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rPr>
            </w:pPr>
          </w:p>
        </w:tc>
        <w:tc>
          <w:tcPr>
            <w:tcW w:w="14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rPr>
              <w:t>人民币存贷款</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rPr>
              <w:t>增速</w:t>
            </w:r>
          </w:p>
        </w:tc>
        <w:tc>
          <w:tcPr>
            <w:tcW w:w="103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p>
        </w:tc>
        <w:tc>
          <w:tcPr>
            <w:tcW w:w="101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sz w:val="21"/>
                <w:szCs w:val="21"/>
              </w:rPr>
            </w:pPr>
            <w:r>
              <w:rPr>
                <w:rFonts w:hint="eastAsia"/>
                <w:b w:val="0"/>
                <w:bCs w:val="0"/>
                <w:kern w:val="0"/>
                <w:sz w:val="21"/>
                <w:szCs w:val="21"/>
              </w:rPr>
              <w:t>标准分</w:t>
            </w:r>
            <w:r>
              <w:rPr>
                <w:rFonts w:hint="eastAsia"/>
                <w:b w:val="0"/>
                <w:bCs w:val="0"/>
                <w:kern w:val="0"/>
                <w:sz w:val="21"/>
                <w:szCs w:val="21"/>
                <w:lang w:val="en-US" w:eastAsia="zh-CN"/>
              </w:rPr>
              <w:t>20</w:t>
            </w:r>
            <w:r>
              <w:rPr>
                <w:rFonts w:hint="eastAsia"/>
                <w:b w:val="0"/>
                <w:bCs w:val="0"/>
                <w:kern w:val="0"/>
                <w:sz w:val="21"/>
                <w:szCs w:val="21"/>
              </w:rPr>
              <w:t>分，20</w:t>
            </w:r>
            <w:r>
              <w:rPr>
                <w:rFonts w:hint="eastAsia"/>
                <w:b w:val="0"/>
                <w:bCs w:val="0"/>
                <w:kern w:val="0"/>
                <w:sz w:val="21"/>
                <w:szCs w:val="21"/>
                <w:lang w:val="en-US" w:eastAsia="zh-CN"/>
              </w:rPr>
              <w:t>21</w:t>
            </w:r>
            <w:r>
              <w:rPr>
                <w:rFonts w:hint="eastAsia"/>
                <w:b w:val="0"/>
                <w:bCs w:val="0"/>
                <w:kern w:val="0"/>
                <w:sz w:val="21"/>
                <w:szCs w:val="21"/>
              </w:rPr>
              <w:t>年考核任务为人民币存贷款同比平均增速达</w:t>
            </w:r>
            <w:r>
              <w:rPr>
                <w:rFonts w:hint="eastAsia"/>
                <w:b w:val="0"/>
                <w:bCs w:val="0"/>
                <w:kern w:val="0"/>
                <w:sz w:val="21"/>
                <w:szCs w:val="21"/>
                <w:lang w:val="en-US" w:eastAsia="zh-CN"/>
              </w:rPr>
              <w:t>18</w:t>
            </w:r>
            <w:r>
              <w:rPr>
                <w:rFonts w:hint="eastAsia"/>
                <w:b w:val="0"/>
                <w:bCs w:val="0"/>
                <w:kern w:val="0"/>
                <w:sz w:val="21"/>
                <w:szCs w:val="21"/>
              </w:rPr>
              <w:t>%，完成目标任务得</w:t>
            </w:r>
            <w:r>
              <w:rPr>
                <w:rFonts w:hint="eastAsia"/>
                <w:b w:val="0"/>
                <w:bCs w:val="0"/>
                <w:kern w:val="0"/>
                <w:sz w:val="21"/>
                <w:szCs w:val="21"/>
                <w:lang w:val="en-US" w:eastAsia="zh-CN"/>
              </w:rPr>
              <w:t>20</w:t>
            </w:r>
            <w:r>
              <w:rPr>
                <w:rFonts w:hint="eastAsia"/>
                <w:b w:val="0"/>
                <w:bCs w:val="0"/>
                <w:kern w:val="0"/>
                <w:sz w:val="21"/>
                <w:szCs w:val="21"/>
              </w:rPr>
              <w:t>分，未完成任务的，则按照增速与目标任务的比例计算得分，增速为负数的此项不得分。考核</w:t>
            </w:r>
            <w:r>
              <w:rPr>
                <w:rFonts w:hint="eastAsia"/>
                <w:b w:val="0"/>
                <w:bCs w:val="0"/>
                <w:kern w:val="0"/>
                <w:sz w:val="21"/>
                <w:szCs w:val="21"/>
                <w:lang w:val="en-US" w:eastAsia="zh-CN"/>
              </w:rPr>
              <w:t>6</w:t>
            </w:r>
            <w:r>
              <w:rPr>
                <w:rFonts w:hint="eastAsia"/>
                <w:b w:val="0"/>
                <w:bCs w:val="0"/>
                <w:kern w:val="0"/>
                <w:sz w:val="21"/>
                <w:szCs w:val="21"/>
              </w:rPr>
              <w:t>月、</w:t>
            </w:r>
            <w:r>
              <w:rPr>
                <w:rFonts w:hint="eastAsia"/>
                <w:b w:val="0"/>
                <w:bCs w:val="0"/>
                <w:kern w:val="0"/>
                <w:sz w:val="21"/>
                <w:szCs w:val="21"/>
                <w:lang w:val="en-US" w:eastAsia="zh-CN"/>
              </w:rPr>
              <w:t>9</w:t>
            </w:r>
            <w:r>
              <w:rPr>
                <w:rFonts w:hint="eastAsia"/>
                <w:b w:val="0"/>
                <w:bCs w:val="0"/>
                <w:kern w:val="0"/>
                <w:sz w:val="21"/>
                <w:szCs w:val="21"/>
              </w:rPr>
              <w:t>月和</w:t>
            </w:r>
            <w:r>
              <w:rPr>
                <w:rFonts w:hint="eastAsia"/>
                <w:b w:val="0"/>
                <w:bCs w:val="0"/>
                <w:kern w:val="0"/>
                <w:sz w:val="21"/>
                <w:szCs w:val="21"/>
                <w:lang w:val="en-US" w:eastAsia="zh-CN"/>
              </w:rPr>
              <w:t>12</w:t>
            </w:r>
            <w:r>
              <w:rPr>
                <w:rFonts w:hint="eastAsia"/>
                <w:b w:val="0"/>
                <w:bCs w:val="0"/>
                <w:kern w:val="0"/>
                <w:sz w:val="21"/>
                <w:szCs w:val="21"/>
              </w:rPr>
              <w:t>月存贷款增速，各季度分数占比</w:t>
            </w:r>
            <w:r>
              <w:rPr>
                <w:rFonts w:hint="eastAsia"/>
                <w:b w:val="0"/>
                <w:bCs w:val="0"/>
                <w:kern w:val="0"/>
                <w:sz w:val="21"/>
                <w:szCs w:val="21"/>
                <w:lang w:val="en-US" w:eastAsia="zh-CN"/>
              </w:rPr>
              <w:t>35</w:t>
            </w:r>
            <w:r>
              <w:rPr>
                <w:rFonts w:hint="eastAsia"/>
                <w:b w:val="0"/>
                <w:bCs w:val="0"/>
                <w:kern w:val="0"/>
                <w:sz w:val="21"/>
                <w:szCs w:val="21"/>
              </w:rPr>
              <w:t>%、</w:t>
            </w:r>
            <w:r>
              <w:rPr>
                <w:rFonts w:hint="eastAsia"/>
                <w:b w:val="0"/>
                <w:bCs w:val="0"/>
                <w:kern w:val="0"/>
                <w:sz w:val="21"/>
                <w:szCs w:val="21"/>
                <w:lang w:val="en-US" w:eastAsia="zh-CN"/>
              </w:rPr>
              <w:t>35</w:t>
            </w:r>
            <w:r>
              <w:rPr>
                <w:rFonts w:hint="eastAsia"/>
                <w:b w:val="0"/>
                <w:bCs w:val="0"/>
                <w:kern w:val="0"/>
                <w:sz w:val="21"/>
                <w:szCs w:val="21"/>
              </w:rPr>
              <w:t>%、</w:t>
            </w:r>
            <w:r>
              <w:rPr>
                <w:rFonts w:hint="eastAsia"/>
                <w:b w:val="0"/>
                <w:bCs w:val="0"/>
                <w:kern w:val="0"/>
                <w:sz w:val="21"/>
                <w:szCs w:val="21"/>
                <w:lang w:val="en-US" w:eastAsia="zh-CN"/>
              </w:rPr>
              <w:t>30</w:t>
            </w:r>
            <w:r>
              <w:rPr>
                <w:rFonts w:hint="eastAsia"/>
                <w:b w:val="0"/>
                <w:bCs w:val="0"/>
                <w:kern w:val="0"/>
                <w:sz w:val="21"/>
                <w:szCs w:val="21"/>
              </w:rPr>
              <w:t>%。（相关数据以《</w:t>
            </w:r>
            <w:r>
              <w:rPr>
                <w:rFonts w:hint="eastAsia"/>
                <w:b w:val="0"/>
                <w:bCs w:val="0"/>
                <w:kern w:val="0"/>
                <w:sz w:val="21"/>
                <w:szCs w:val="21"/>
                <w:highlight w:val="none"/>
                <w:lang w:eastAsia="zh-CN"/>
              </w:rPr>
              <w:t>温州市区金融机构主要金融指标</w:t>
            </w:r>
            <w:r>
              <w:rPr>
                <w:rFonts w:hint="eastAsia"/>
                <w:b w:val="0"/>
                <w:bCs w:val="0"/>
                <w:kern w:val="0"/>
                <w:sz w:val="21"/>
                <w:szCs w:val="21"/>
              </w:rPr>
              <w:t>》为准）</w:t>
            </w:r>
          </w:p>
        </w:tc>
      </w:tr>
      <w:tr>
        <w:tblPrEx>
          <w:tblCellMar>
            <w:top w:w="0" w:type="dxa"/>
            <w:left w:w="108" w:type="dxa"/>
            <w:bottom w:w="0" w:type="dxa"/>
            <w:right w:w="108" w:type="dxa"/>
          </w:tblCellMar>
        </w:tblPrEx>
        <w:trPr>
          <w:trHeight w:val="933" w:hRule="atLeast"/>
          <w:jc w:val="center"/>
        </w:trPr>
        <w:tc>
          <w:tcPr>
            <w:tcW w:w="697" w:type="dxa"/>
            <w:vMerge w:val="continue"/>
            <w:tcBorders>
              <w:left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09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rPr>
            </w:pPr>
          </w:p>
        </w:tc>
        <w:tc>
          <w:tcPr>
            <w:tcW w:w="14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highlight w:val="none"/>
              </w:rPr>
            </w:pPr>
            <w:r>
              <w:rPr>
                <w:rFonts w:hint="eastAsia"/>
                <w:b w:val="0"/>
                <w:bCs w:val="0"/>
                <w:sz w:val="21"/>
                <w:szCs w:val="21"/>
                <w:highlight w:val="none"/>
              </w:rPr>
              <w:t>新增制造业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highlight w:val="none"/>
              </w:rPr>
              <w:t>贷款</w:t>
            </w:r>
            <w:r>
              <w:rPr>
                <w:rFonts w:hint="eastAsia"/>
                <w:b w:val="0"/>
                <w:bCs w:val="0"/>
                <w:sz w:val="21"/>
                <w:szCs w:val="21"/>
                <w:highlight w:val="none"/>
                <w:lang w:eastAsia="zh-CN"/>
              </w:rPr>
              <w:t>余额</w:t>
            </w:r>
          </w:p>
        </w:tc>
        <w:tc>
          <w:tcPr>
            <w:tcW w:w="103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p>
        </w:tc>
        <w:tc>
          <w:tcPr>
            <w:tcW w:w="101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sz w:val="21"/>
                <w:szCs w:val="21"/>
              </w:rPr>
            </w:pPr>
            <w:r>
              <w:rPr>
                <w:rFonts w:hint="eastAsia"/>
                <w:b w:val="0"/>
                <w:bCs w:val="0"/>
                <w:kern w:val="0"/>
                <w:sz w:val="21"/>
                <w:szCs w:val="21"/>
                <w:highlight w:val="none"/>
              </w:rPr>
              <w:t>标准分</w:t>
            </w:r>
            <w:r>
              <w:rPr>
                <w:rFonts w:hint="eastAsia"/>
                <w:b w:val="0"/>
                <w:bCs w:val="0"/>
                <w:kern w:val="0"/>
                <w:sz w:val="21"/>
                <w:szCs w:val="21"/>
                <w:highlight w:val="none"/>
                <w:lang w:val="en-US" w:eastAsia="zh-CN"/>
              </w:rPr>
              <w:t>10</w:t>
            </w:r>
            <w:r>
              <w:rPr>
                <w:rFonts w:hint="eastAsia"/>
                <w:b w:val="0"/>
                <w:bCs w:val="0"/>
                <w:kern w:val="0"/>
                <w:sz w:val="21"/>
                <w:szCs w:val="21"/>
                <w:highlight w:val="none"/>
              </w:rPr>
              <w:t>分。根据本年度</w:t>
            </w:r>
            <w:r>
              <w:rPr>
                <w:rFonts w:hint="eastAsia"/>
                <w:b w:val="0"/>
                <w:bCs w:val="0"/>
                <w:sz w:val="21"/>
                <w:szCs w:val="21"/>
                <w:highlight w:val="none"/>
              </w:rPr>
              <w:t>新增制造业</w:t>
            </w:r>
            <w:r>
              <w:rPr>
                <w:rFonts w:hint="eastAsia"/>
                <w:b w:val="0"/>
                <w:bCs w:val="0"/>
                <w:kern w:val="0"/>
                <w:sz w:val="21"/>
                <w:szCs w:val="21"/>
                <w:highlight w:val="none"/>
              </w:rPr>
              <w:t>贷款额进行排名，第一名得10分，每退后一名减0.5分，扣完为止。</w:t>
            </w:r>
            <w:r>
              <w:rPr>
                <w:rFonts w:hint="eastAsia"/>
                <w:b w:val="0"/>
                <w:bCs w:val="0"/>
                <w:sz w:val="21"/>
                <w:szCs w:val="21"/>
                <w:highlight w:val="none"/>
              </w:rPr>
              <w:t>制造业</w:t>
            </w:r>
            <w:r>
              <w:rPr>
                <w:rFonts w:hint="eastAsia"/>
                <w:b w:val="0"/>
                <w:bCs w:val="0"/>
                <w:kern w:val="0"/>
                <w:sz w:val="21"/>
                <w:szCs w:val="21"/>
                <w:highlight w:val="none"/>
              </w:rPr>
              <w:t>贷款增长额为负值的金融机构不得分。</w:t>
            </w:r>
            <w:r>
              <w:rPr>
                <w:rFonts w:hint="eastAsia"/>
                <w:b w:val="0"/>
                <w:bCs w:val="0"/>
                <w:sz w:val="21"/>
                <w:szCs w:val="21"/>
              </w:rPr>
              <w:t>（相关数据以《鹿城区金融统计月报》为准）</w:t>
            </w:r>
          </w:p>
        </w:tc>
      </w:tr>
      <w:tr>
        <w:tblPrEx>
          <w:tblCellMar>
            <w:top w:w="0" w:type="dxa"/>
            <w:left w:w="108" w:type="dxa"/>
            <w:bottom w:w="0" w:type="dxa"/>
            <w:right w:w="108" w:type="dxa"/>
          </w:tblCellMar>
        </w:tblPrEx>
        <w:trPr>
          <w:trHeight w:val="871" w:hRule="atLeast"/>
          <w:jc w:val="center"/>
        </w:trPr>
        <w:tc>
          <w:tcPr>
            <w:tcW w:w="697" w:type="dxa"/>
            <w:vMerge w:val="continue"/>
            <w:tcBorders>
              <w:left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09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rPr>
            </w:pPr>
          </w:p>
        </w:tc>
        <w:tc>
          <w:tcPr>
            <w:tcW w:w="14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b w:val="0"/>
                <w:bCs w:val="0"/>
                <w:sz w:val="21"/>
                <w:szCs w:val="21"/>
                <w:highlight w:val="none"/>
                <w:lang w:eastAsia="zh-CN"/>
              </w:rPr>
            </w:pPr>
            <w:r>
              <w:rPr>
                <w:rFonts w:hint="eastAsia"/>
                <w:b w:val="0"/>
                <w:bCs w:val="0"/>
                <w:sz w:val="21"/>
                <w:szCs w:val="21"/>
                <w:highlight w:val="none"/>
                <w:lang w:eastAsia="zh-CN"/>
              </w:rPr>
              <w:t>小微企业贷款新增</w:t>
            </w:r>
          </w:p>
        </w:tc>
        <w:tc>
          <w:tcPr>
            <w:tcW w:w="103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p>
        </w:tc>
        <w:tc>
          <w:tcPr>
            <w:tcW w:w="101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kern w:val="0"/>
                <w:sz w:val="21"/>
                <w:szCs w:val="21"/>
                <w:highlight w:val="none"/>
              </w:rPr>
            </w:pPr>
            <w:r>
              <w:rPr>
                <w:rFonts w:hint="eastAsia"/>
                <w:b w:val="0"/>
                <w:bCs w:val="0"/>
                <w:kern w:val="0"/>
                <w:sz w:val="21"/>
                <w:szCs w:val="21"/>
                <w:highlight w:val="none"/>
              </w:rPr>
              <w:t>标准分</w:t>
            </w:r>
            <w:r>
              <w:rPr>
                <w:rFonts w:hint="eastAsia"/>
                <w:b w:val="0"/>
                <w:bCs w:val="0"/>
                <w:kern w:val="0"/>
                <w:sz w:val="21"/>
                <w:szCs w:val="21"/>
                <w:highlight w:val="none"/>
                <w:lang w:val="en-US" w:eastAsia="zh-CN"/>
              </w:rPr>
              <w:t>10</w:t>
            </w:r>
            <w:r>
              <w:rPr>
                <w:rFonts w:hint="eastAsia"/>
                <w:b w:val="0"/>
                <w:bCs w:val="0"/>
                <w:kern w:val="0"/>
                <w:sz w:val="21"/>
                <w:szCs w:val="21"/>
                <w:highlight w:val="none"/>
              </w:rPr>
              <w:t>分。</w:t>
            </w:r>
            <w:r>
              <w:rPr>
                <w:rFonts w:hint="eastAsia"/>
                <w:b w:val="0"/>
                <w:bCs w:val="0"/>
                <w:sz w:val="21"/>
                <w:szCs w:val="21"/>
              </w:rPr>
              <w:t>根据本年度新增小微企业贷款额进行排名，第一名得</w:t>
            </w:r>
            <w:r>
              <w:rPr>
                <w:rFonts w:hint="eastAsia"/>
                <w:b w:val="0"/>
                <w:bCs w:val="0"/>
                <w:sz w:val="21"/>
                <w:szCs w:val="21"/>
                <w:lang w:val="en-US" w:eastAsia="zh-CN"/>
              </w:rPr>
              <w:t>10</w:t>
            </w:r>
            <w:r>
              <w:rPr>
                <w:rFonts w:hint="eastAsia"/>
                <w:b w:val="0"/>
                <w:bCs w:val="0"/>
                <w:sz w:val="21"/>
                <w:szCs w:val="21"/>
              </w:rPr>
              <w:t>分，每退后一名减0.</w:t>
            </w:r>
            <w:r>
              <w:rPr>
                <w:rFonts w:hint="eastAsia"/>
                <w:b w:val="0"/>
                <w:bCs w:val="0"/>
                <w:sz w:val="21"/>
                <w:szCs w:val="21"/>
                <w:lang w:val="en-US" w:eastAsia="zh-CN"/>
              </w:rPr>
              <w:t>5</w:t>
            </w:r>
            <w:r>
              <w:rPr>
                <w:rFonts w:hint="eastAsia"/>
                <w:b w:val="0"/>
                <w:bCs w:val="0"/>
                <w:sz w:val="21"/>
                <w:szCs w:val="21"/>
              </w:rPr>
              <w:t>分，扣完为止。小微企业贷款增长额为负值的金融机构不得分。</w:t>
            </w:r>
          </w:p>
        </w:tc>
      </w:tr>
      <w:tr>
        <w:tblPrEx>
          <w:tblCellMar>
            <w:top w:w="0" w:type="dxa"/>
            <w:left w:w="108" w:type="dxa"/>
            <w:bottom w:w="0" w:type="dxa"/>
            <w:right w:w="108" w:type="dxa"/>
          </w:tblCellMar>
        </w:tblPrEx>
        <w:trPr>
          <w:trHeight w:val="725" w:hRule="atLeast"/>
          <w:jc w:val="center"/>
        </w:trPr>
        <w:tc>
          <w:tcPr>
            <w:tcW w:w="697"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09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rPr>
            </w:pPr>
          </w:p>
        </w:tc>
        <w:tc>
          <w:tcPr>
            <w:tcW w:w="14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b w:val="0"/>
                <w:bCs w:val="0"/>
                <w:sz w:val="21"/>
                <w:szCs w:val="21"/>
                <w:lang w:eastAsia="zh-CN"/>
              </w:rPr>
            </w:pPr>
            <w:r>
              <w:rPr>
                <w:rFonts w:hint="eastAsia"/>
                <w:b w:val="0"/>
                <w:bCs w:val="0"/>
                <w:kern w:val="0"/>
                <w:sz w:val="21"/>
                <w:szCs w:val="21"/>
                <w:highlight w:val="none"/>
                <w:lang w:eastAsia="zh-CN"/>
              </w:rPr>
              <w:t>金融综合服务平台</w:t>
            </w:r>
          </w:p>
        </w:tc>
        <w:tc>
          <w:tcPr>
            <w:tcW w:w="103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p>
        </w:tc>
        <w:tc>
          <w:tcPr>
            <w:tcW w:w="101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kern w:val="0"/>
                <w:sz w:val="21"/>
                <w:szCs w:val="21"/>
              </w:rPr>
            </w:pPr>
            <w:r>
              <w:rPr>
                <w:rFonts w:hint="eastAsia"/>
                <w:b w:val="0"/>
                <w:bCs w:val="0"/>
                <w:kern w:val="0"/>
                <w:sz w:val="21"/>
                <w:szCs w:val="21"/>
                <w:highlight w:val="none"/>
              </w:rPr>
              <w:t>标准分</w:t>
            </w:r>
            <w:r>
              <w:rPr>
                <w:rFonts w:hint="eastAsia"/>
                <w:b w:val="0"/>
                <w:bCs w:val="0"/>
                <w:kern w:val="0"/>
                <w:sz w:val="21"/>
                <w:szCs w:val="21"/>
                <w:highlight w:val="none"/>
                <w:lang w:val="en-US" w:eastAsia="zh-CN"/>
              </w:rPr>
              <w:t>5</w:t>
            </w:r>
            <w:r>
              <w:rPr>
                <w:rFonts w:hint="eastAsia"/>
                <w:b w:val="0"/>
                <w:bCs w:val="0"/>
                <w:kern w:val="0"/>
                <w:sz w:val="21"/>
                <w:szCs w:val="21"/>
                <w:highlight w:val="none"/>
              </w:rPr>
              <w:t>分。全年</w:t>
            </w:r>
            <w:r>
              <w:rPr>
                <w:rFonts w:hint="eastAsia"/>
                <w:b w:val="0"/>
                <w:bCs w:val="0"/>
                <w:kern w:val="0"/>
                <w:sz w:val="21"/>
                <w:szCs w:val="21"/>
                <w:highlight w:val="none"/>
                <w:lang w:eastAsia="zh-CN"/>
              </w:rPr>
              <w:t>在温州市金融综合服务平台完成融资服务规模</w:t>
            </w:r>
            <w:r>
              <w:rPr>
                <w:rFonts w:hint="eastAsia"/>
                <w:b w:val="0"/>
                <w:bCs w:val="0"/>
                <w:kern w:val="0"/>
                <w:sz w:val="21"/>
                <w:szCs w:val="21"/>
                <w:highlight w:val="none"/>
              </w:rPr>
              <w:t>达</w:t>
            </w:r>
            <w:r>
              <w:rPr>
                <w:rFonts w:hint="eastAsia"/>
                <w:b w:val="0"/>
                <w:bCs w:val="0"/>
                <w:kern w:val="0"/>
                <w:sz w:val="21"/>
                <w:szCs w:val="21"/>
                <w:highlight w:val="none"/>
                <w:lang w:val="en-US" w:eastAsia="zh-CN"/>
              </w:rPr>
              <w:t>5亿元</w:t>
            </w:r>
            <w:r>
              <w:rPr>
                <w:rFonts w:hint="eastAsia"/>
                <w:b w:val="0"/>
                <w:bCs w:val="0"/>
                <w:kern w:val="0"/>
                <w:sz w:val="21"/>
                <w:szCs w:val="21"/>
                <w:highlight w:val="none"/>
              </w:rPr>
              <w:t>，得</w:t>
            </w:r>
            <w:r>
              <w:rPr>
                <w:rFonts w:hint="eastAsia"/>
                <w:b w:val="0"/>
                <w:bCs w:val="0"/>
                <w:kern w:val="0"/>
                <w:sz w:val="21"/>
                <w:szCs w:val="21"/>
                <w:highlight w:val="none"/>
                <w:lang w:val="en-US" w:eastAsia="zh-CN"/>
              </w:rPr>
              <w:t>5</w:t>
            </w:r>
            <w:r>
              <w:rPr>
                <w:rFonts w:hint="eastAsia"/>
                <w:b w:val="0"/>
                <w:bCs w:val="0"/>
                <w:kern w:val="0"/>
                <w:sz w:val="21"/>
                <w:szCs w:val="21"/>
                <w:highlight w:val="none"/>
              </w:rPr>
              <w:t>分，未达到的，则按实际完成比例计算得分。</w:t>
            </w:r>
          </w:p>
        </w:tc>
      </w:tr>
      <w:tr>
        <w:tblPrEx>
          <w:tblCellMar>
            <w:top w:w="0" w:type="dxa"/>
            <w:left w:w="108" w:type="dxa"/>
            <w:bottom w:w="0" w:type="dxa"/>
            <w:right w:w="108" w:type="dxa"/>
          </w:tblCellMar>
        </w:tblPrEx>
        <w:trPr>
          <w:trHeight w:val="913" w:hRule="atLeast"/>
          <w:jc w:val="center"/>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highlight w:val="none"/>
                <w:lang w:eastAsia="zh-CN"/>
              </w:rPr>
            </w:pPr>
            <w:r>
              <w:rPr>
                <w:rFonts w:hint="eastAsia"/>
                <w:b w:val="0"/>
                <w:bCs w:val="0"/>
                <w:sz w:val="21"/>
                <w:szCs w:val="21"/>
                <w:highlight w:val="none"/>
                <w:lang w:eastAsia="zh-CN"/>
              </w:rPr>
              <w:t>政策性融资担保在保余额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highlight w:val="none"/>
                <w:lang w:eastAsia="zh-CN"/>
              </w:rPr>
              <w:t>新增</w:t>
            </w: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p>
        </w:tc>
        <w:tc>
          <w:tcPr>
            <w:tcW w:w="101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kern w:val="0"/>
                <w:sz w:val="21"/>
                <w:szCs w:val="21"/>
              </w:rPr>
            </w:pPr>
            <w:r>
              <w:rPr>
                <w:rFonts w:hint="eastAsia"/>
                <w:b w:val="0"/>
                <w:bCs w:val="0"/>
                <w:kern w:val="0"/>
                <w:sz w:val="21"/>
                <w:szCs w:val="21"/>
                <w:highlight w:val="none"/>
              </w:rPr>
              <w:t>标准分</w:t>
            </w:r>
            <w:r>
              <w:rPr>
                <w:rFonts w:hint="eastAsia"/>
                <w:b w:val="0"/>
                <w:bCs w:val="0"/>
                <w:kern w:val="0"/>
                <w:sz w:val="21"/>
                <w:szCs w:val="21"/>
                <w:highlight w:val="none"/>
                <w:lang w:val="en-US" w:eastAsia="zh-CN"/>
              </w:rPr>
              <w:t>15</w:t>
            </w:r>
            <w:r>
              <w:rPr>
                <w:rFonts w:hint="eastAsia"/>
                <w:b w:val="0"/>
                <w:bCs w:val="0"/>
                <w:kern w:val="0"/>
                <w:sz w:val="21"/>
                <w:szCs w:val="21"/>
                <w:highlight w:val="none"/>
              </w:rPr>
              <w:t>分。全年开展小微企业信用保证基金业务在保余额新增规模达</w:t>
            </w:r>
            <w:r>
              <w:rPr>
                <w:rFonts w:hint="eastAsia"/>
                <w:b w:val="0"/>
                <w:bCs w:val="0"/>
                <w:kern w:val="0"/>
                <w:sz w:val="21"/>
                <w:szCs w:val="21"/>
                <w:highlight w:val="none"/>
                <w:lang w:val="en-US" w:eastAsia="zh-CN"/>
              </w:rPr>
              <w:t>3000</w:t>
            </w:r>
            <w:r>
              <w:rPr>
                <w:rFonts w:hint="eastAsia"/>
                <w:b w:val="0"/>
                <w:bCs w:val="0"/>
                <w:kern w:val="0"/>
                <w:sz w:val="21"/>
                <w:szCs w:val="21"/>
                <w:highlight w:val="none"/>
              </w:rPr>
              <w:t>万，得</w:t>
            </w:r>
            <w:r>
              <w:rPr>
                <w:rFonts w:hint="eastAsia"/>
                <w:b w:val="0"/>
                <w:bCs w:val="0"/>
                <w:kern w:val="0"/>
                <w:sz w:val="21"/>
                <w:szCs w:val="21"/>
                <w:highlight w:val="none"/>
                <w:lang w:val="en-US" w:eastAsia="zh-CN"/>
              </w:rPr>
              <w:t>15</w:t>
            </w:r>
            <w:r>
              <w:rPr>
                <w:rFonts w:hint="eastAsia"/>
                <w:b w:val="0"/>
                <w:bCs w:val="0"/>
                <w:kern w:val="0"/>
                <w:sz w:val="21"/>
                <w:szCs w:val="21"/>
                <w:highlight w:val="none"/>
              </w:rPr>
              <w:t>分；未达到的，则按实际完成比例计算得分。</w:t>
            </w:r>
          </w:p>
        </w:tc>
      </w:tr>
      <w:tr>
        <w:tblPrEx>
          <w:tblCellMar>
            <w:top w:w="0" w:type="dxa"/>
            <w:left w:w="108" w:type="dxa"/>
            <w:bottom w:w="0" w:type="dxa"/>
            <w:right w:w="108" w:type="dxa"/>
          </w:tblCellMar>
        </w:tblPrEx>
        <w:trPr>
          <w:trHeight w:val="1960"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highlight w:val="none"/>
              </w:rPr>
            </w:pPr>
            <w:r>
              <w:rPr>
                <w:rFonts w:hint="eastAsia"/>
                <w:b w:val="0"/>
                <w:bCs w:val="0"/>
                <w:kern w:val="0"/>
                <w:sz w:val="21"/>
                <w:szCs w:val="21"/>
                <w:highlight w:val="none"/>
              </w:rPr>
              <w:t>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highlight w:val="none"/>
              </w:rPr>
            </w:pPr>
            <w:r>
              <w:rPr>
                <w:rFonts w:hint="eastAsia"/>
                <w:b w:val="0"/>
                <w:bCs w:val="0"/>
                <w:kern w:val="0"/>
                <w:sz w:val="21"/>
                <w:szCs w:val="21"/>
                <w:highlight w:val="none"/>
              </w:rPr>
              <w:t>金融风险化解</w:t>
            </w:r>
          </w:p>
        </w:tc>
        <w:tc>
          <w:tcPr>
            <w:tcW w:w="1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highlight w:val="none"/>
              </w:rPr>
            </w:pPr>
            <w:r>
              <w:rPr>
                <w:rFonts w:hint="eastAsia"/>
                <w:b w:val="0"/>
                <w:bCs w:val="0"/>
                <w:sz w:val="21"/>
                <w:szCs w:val="21"/>
                <w:highlight w:val="none"/>
              </w:rPr>
              <w:t>金融风险化解</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highlight w:val="none"/>
              </w:rPr>
            </w:pPr>
            <w:r>
              <w:rPr>
                <w:rFonts w:hint="eastAsia"/>
                <w:b w:val="0"/>
                <w:bCs w:val="0"/>
                <w:sz w:val="21"/>
                <w:szCs w:val="21"/>
                <w:highlight w:val="none"/>
              </w:rPr>
              <w:t>20分</w:t>
            </w:r>
          </w:p>
        </w:tc>
        <w:tc>
          <w:tcPr>
            <w:tcW w:w="101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kern w:val="0"/>
                <w:sz w:val="21"/>
                <w:szCs w:val="21"/>
                <w:highlight w:val="none"/>
              </w:rPr>
            </w:pPr>
            <w:r>
              <w:rPr>
                <w:rFonts w:hint="eastAsia"/>
                <w:b w:val="0"/>
                <w:bCs w:val="0"/>
                <w:kern w:val="0"/>
                <w:sz w:val="21"/>
                <w:szCs w:val="21"/>
                <w:highlight w:val="none"/>
              </w:rPr>
              <w:t>贷款不良率指标20分，基准分10分，按照银行年末贷款不良率与全市不良贷款率的差值计分。差值为负数的，每0.01个百分点加0.2分，最多加10分；差值为正数的，每0.01个百分点扣0.2分，扣完基准分为止。差值不足一个百分点的按比例折算。</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sz w:val="21"/>
                <w:szCs w:val="21"/>
                <w:highlight w:val="none"/>
              </w:rPr>
            </w:pPr>
            <w:r>
              <w:rPr>
                <w:rFonts w:hint="eastAsia"/>
                <w:b w:val="0"/>
                <w:bCs w:val="0"/>
                <w:kern w:val="0"/>
                <w:sz w:val="21"/>
                <w:szCs w:val="21"/>
                <w:highlight w:val="none"/>
              </w:rPr>
              <w:t>根据上述项目得分情况，最终考绩得分＝［（本值－最低值）／（最高值－最低值）×30＋70］／100×20。</w:t>
            </w:r>
          </w:p>
        </w:tc>
      </w:tr>
      <w:tr>
        <w:tblPrEx>
          <w:tblCellMar>
            <w:top w:w="0" w:type="dxa"/>
            <w:left w:w="108" w:type="dxa"/>
            <w:bottom w:w="0" w:type="dxa"/>
            <w:right w:w="108" w:type="dxa"/>
          </w:tblCellMar>
        </w:tblPrEx>
        <w:trPr>
          <w:trHeight w:val="625" w:hRule="atLeast"/>
          <w:jc w:val="center"/>
        </w:trPr>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r>
              <w:rPr>
                <w:rFonts w:hint="eastAsia"/>
                <w:b w:val="0"/>
                <w:bCs w:val="0"/>
                <w:kern w:val="0"/>
                <w:sz w:val="21"/>
                <w:szCs w:val="21"/>
              </w:rPr>
              <w:t>4</w:t>
            </w: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r>
              <w:rPr>
                <w:rFonts w:hint="eastAsia"/>
                <w:b w:val="0"/>
                <w:bCs w:val="0"/>
                <w:kern w:val="0"/>
                <w:sz w:val="21"/>
                <w:szCs w:val="21"/>
              </w:rPr>
              <w:t>工作衔接</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rPr>
              <w:t>上报金融数据</w:t>
            </w:r>
          </w:p>
        </w:tc>
        <w:tc>
          <w:tcPr>
            <w:tcW w:w="103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rPr>
              <w:t>10分</w:t>
            </w:r>
          </w:p>
        </w:tc>
        <w:tc>
          <w:tcPr>
            <w:tcW w:w="10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sz w:val="21"/>
                <w:szCs w:val="21"/>
              </w:rPr>
            </w:pPr>
            <w:r>
              <w:rPr>
                <w:rFonts w:hint="eastAsia"/>
                <w:b w:val="0"/>
                <w:bCs w:val="0"/>
                <w:sz w:val="21"/>
                <w:szCs w:val="21"/>
              </w:rPr>
              <w:t>标准分5分。及时、准确、全面报送数据、报表等资料的，得5分，一次不上报的扣1分，迟报一次扣0.5分，扣完为止。</w:t>
            </w:r>
          </w:p>
        </w:tc>
      </w:tr>
      <w:tr>
        <w:tblPrEx>
          <w:tblCellMar>
            <w:top w:w="0" w:type="dxa"/>
            <w:left w:w="108" w:type="dxa"/>
            <w:bottom w:w="0" w:type="dxa"/>
            <w:right w:w="108" w:type="dxa"/>
          </w:tblCellMar>
        </w:tblPrEx>
        <w:trPr>
          <w:trHeight w:val="653" w:hRule="atLeast"/>
          <w:jc w:val="center"/>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rPr>
              <w:t>参加区相关会议情况</w:t>
            </w: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p>
        </w:tc>
        <w:tc>
          <w:tcPr>
            <w:tcW w:w="10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sz w:val="21"/>
                <w:szCs w:val="21"/>
              </w:rPr>
            </w:pPr>
            <w:r>
              <w:rPr>
                <w:rFonts w:hint="eastAsia"/>
                <w:b w:val="0"/>
                <w:bCs w:val="0"/>
                <w:sz w:val="21"/>
                <w:szCs w:val="21"/>
              </w:rPr>
              <w:t>标准分2.5分。按时参加区里组织的各项会议的，得2.5分，缺席一次扣0.5分，迟到一次扣0.2分，扣完为止。</w:t>
            </w:r>
          </w:p>
        </w:tc>
      </w:tr>
      <w:tr>
        <w:tblPrEx>
          <w:tblCellMar>
            <w:top w:w="0" w:type="dxa"/>
            <w:left w:w="108" w:type="dxa"/>
            <w:bottom w:w="0" w:type="dxa"/>
            <w:right w:w="108" w:type="dxa"/>
          </w:tblCellMar>
        </w:tblPrEx>
        <w:trPr>
          <w:trHeight w:val="455" w:hRule="atLeast"/>
          <w:jc w:val="center"/>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r>
              <w:rPr>
                <w:rFonts w:hint="eastAsia"/>
                <w:b w:val="0"/>
                <w:bCs w:val="0"/>
                <w:sz w:val="21"/>
                <w:szCs w:val="21"/>
              </w:rPr>
              <w:t>上报金融信息</w:t>
            </w:r>
          </w:p>
        </w:tc>
        <w:tc>
          <w:tcPr>
            <w:tcW w:w="10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rPr>
            </w:pPr>
          </w:p>
        </w:tc>
        <w:tc>
          <w:tcPr>
            <w:tcW w:w="10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sz w:val="21"/>
                <w:szCs w:val="21"/>
              </w:rPr>
            </w:pPr>
            <w:r>
              <w:rPr>
                <w:rFonts w:hint="eastAsia"/>
                <w:b w:val="0"/>
                <w:bCs w:val="0"/>
                <w:sz w:val="21"/>
                <w:szCs w:val="21"/>
              </w:rPr>
              <w:t>标准分2.5分。金融机构每月报送1篇以上金融信息，报送1篇得0.2分，最高得分不超过2.5分。</w:t>
            </w:r>
          </w:p>
        </w:tc>
      </w:tr>
      <w:tr>
        <w:tblPrEx>
          <w:tblCellMar>
            <w:top w:w="0" w:type="dxa"/>
            <w:left w:w="108" w:type="dxa"/>
            <w:bottom w:w="0" w:type="dxa"/>
            <w:right w:w="108" w:type="dxa"/>
          </w:tblCellMar>
        </w:tblPrEx>
        <w:trPr>
          <w:trHeight w:val="667" w:hRule="atLeast"/>
          <w:jc w:val="center"/>
        </w:trPr>
        <w:tc>
          <w:tcPr>
            <w:tcW w:w="697" w:type="dxa"/>
            <w:vMerge w:val="restart"/>
            <w:tcBorders>
              <w:left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r>
              <w:rPr>
                <w:rFonts w:hint="eastAsia"/>
                <w:b w:val="0"/>
                <w:bCs w:val="0"/>
                <w:kern w:val="0"/>
                <w:sz w:val="21"/>
                <w:szCs w:val="21"/>
              </w:rPr>
              <w:t>5</w:t>
            </w:r>
          </w:p>
        </w:tc>
        <w:tc>
          <w:tcPr>
            <w:tcW w:w="1096" w:type="dxa"/>
            <w:vMerge w:val="restart"/>
            <w:tcBorders>
              <w:left w:val="single" w:color="auto" w:sz="4" w:space="0"/>
              <w:right w:val="single" w:color="auto" w:sz="4" w:space="0"/>
            </w:tcBorders>
            <w:noWrap w:val="0"/>
            <w:vAlign w:val="center"/>
          </w:tcPr>
          <w:p>
            <w:pPr>
              <w:widowControl/>
              <w:spacing w:line="260" w:lineRule="exact"/>
              <w:jc w:val="center"/>
              <w:rPr>
                <w:rFonts w:hint="eastAsia"/>
                <w:b w:val="0"/>
                <w:bCs w:val="0"/>
                <w:color w:val="000000"/>
                <w:kern w:val="0"/>
                <w:sz w:val="21"/>
                <w:szCs w:val="21"/>
                <w:highlight w:val="none"/>
              </w:rPr>
            </w:pPr>
            <w:r>
              <w:rPr>
                <w:rFonts w:hint="eastAsia"/>
                <w:b w:val="0"/>
                <w:bCs w:val="0"/>
                <w:color w:val="000000"/>
                <w:kern w:val="0"/>
                <w:sz w:val="21"/>
                <w:szCs w:val="21"/>
                <w:highlight w:val="none"/>
              </w:rPr>
              <w:t>重点工作</w:t>
            </w:r>
          </w:p>
          <w:p>
            <w:pPr>
              <w:widowControl/>
              <w:spacing w:line="260" w:lineRule="exact"/>
              <w:jc w:val="center"/>
              <w:rPr>
                <w:rFonts w:hint="eastAsia"/>
                <w:b w:val="0"/>
                <w:bCs w:val="0"/>
                <w:kern w:val="0"/>
                <w:sz w:val="21"/>
                <w:szCs w:val="21"/>
                <w:highlight w:val="yellow"/>
              </w:rPr>
            </w:pPr>
            <w:r>
              <w:rPr>
                <w:rFonts w:hint="eastAsia"/>
                <w:b w:val="0"/>
                <w:bCs w:val="0"/>
                <w:color w:val="000000"/>
                <w:kern w:val="0"/>
                <w:sz w:val="21"/>
                <w:szCs w:val="21"/>
                <w:highlight w:val="none"/>
              </w:rPr>
              <w:t>加分项</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widowControl/>
              <w:spacing w:line="270" w:lineRule="exact"/>
              <w:jc w:val="center"/>
              <w:rPr>
                <w:rFonts w:hint="eastAsia" w:ascii="仿宋_GB2312" w:hAnsi="宋体" w:eastAsia="仿宋_GB2312" w:cs="宋体"/>
                <w:b w:val="0"/>
                <w:bCs w:val="0"/>
                <w:kern w:val="2"/>
                <w:sz w:val="21"/>
                <w:szCs w:val="21"/>
                <w:lang w:val="en-US" w:eastAsia="zh-CN" w:bidi="ar-SA"/>
              </w:rPr>
            </w:pPr>
            <w:r>
              <w:rPr>
                <w:kern w:val="0"/>
                <w:sz w:val="21"/>
                <w:szCs w:val="21"/>
              </w:rPr>
              <w:t>参与党建工作</w:t>
            </w:r>
          </w:p>
        </w:tc>
        <w:tc>
          <w:tcPr>
            <w:tcW w:w="1031"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highlight w:val="yellow"/>
              </w:rPr>
            </w:pPr>
            <w:r>
              <w:rPr>
                <w:rFonts w:hint="eastAsia"/>
                <w:b w:val="0"/>
                <w:bCs w:val="0"/>
                <w:kern w:val="0"/>
                <w:sz w:val="21"/>
                <w:szCs w:val="21"/>
                <w:highlight w:val="none"/>
                <w:lang w:val="en-US" w:eastAsia="zh-CN"/>
              </w:rPr>
              <w:t>20</w:t>
            </w:r>
            <w:r>
              <w:rPr>
                <w:rFonts w:hint="eastAsia"/>
                <w:b w:val="0"/>
                <w:bCs w:val="0"/>
                <w:kern w:val="0"/>
                <w:sz w:val="21"/>
                <w:szCs w:val="21"/>
                <w:highlight w:val="none"/>
              </w:rPr>
              <w:t>分</w:t>
            </w:r>
          </w:p>
        </w:tc>
        <w:tc>
          <w:tcPr>
            <w:tcW w:w="10144" w:type="dxa"/>
            <w:tcBorders>
              <w:top w:val="single" w:color="auto" w:sz="4" w:space="0"/>
              <w:left w:val="single" w:color="auto" w:sz="4" w:space="0"/>
              <w:bottom w:val="single" w:color="auto" w:sz="4" w:space="0"/>
              <w:right w:val="single" w:color="auto" w:sz="4" w:space="0"/>
            </w:tcBorders>
            <w:noWrap w:val="0"/>
            <w:vAlign w:val="center"/>
          </w:tcPr>
          <w:p>
            <w:pPr>
              <w:widowControl/>
              <w:spacing w:line="270" w:lineRule="exact"/>
              <w:ind w:firstLine="420" w:firstLineChars="200"/>
              <w:rPr>
                <w:kern w:val="0"/>
                <w:sz w:val="21"/>
                <w:szCs w:val="21"/>
              </w:rPr>
            </w:pPr>
            <w:r>
              <w:rPr>
                <w:color w:val="auto"/>
                <w:kern w:val="0"/>
                <w:sz w:val="21"/>
                <w:szCs w:val="21"/>
              </w:rPr>
              <w:t>积极参与鹿城区金融领域党建工作，对开展结对共建、志愿服务、慰问扶贫等工作的适当赋分，最高得分不超过</w:t>
            </w:r>
            <w:r>
              <w:rPr>
                <w:rFonts w:hint="eastAsia"/>
                <w:color w:val="auto"/>
                <w:kern w:val="0"/>
                <w:sz w:val="21"/>
                <w:szCs w:val="21"/>
                <w:lang w:val="en-US" w:eastAsia="zh-CN"/>
              </w:rPr>
              <w:t>5</w:t>
            </w:r>
            <w:r>
              <w:rPr>
                <w:rFonts w:hint="eastAsia"/>
                <w:color w:val="auto"/>
                <w:kern w:val="0"/>
                <w:sz w:val="21"/>
                <w:szCs w:val="21"/>
              </w:rPr>
              <w:t>分。</w:t>
            </w:r>
          </w:p>
        </w:tc>
      </w:tr>
      <w:tr>
        <w:tblPrEx>
          <w:tblCellMar>
            <w:top w:w="0" w:type="dxa"/>
            <w:left w:w="108" w:type="dxa"/>
            <w:bottom w:w="0" w:type="dxa"/>
            <w:right w:w="108" w:type="dxa"/>
          </w:tblCellMar>
        </w:tblPrEx>
        <w:trPr>
          <w:trHeight w:val="696" w:hRule="atLeast"/>
          <w:jc w:val="center"/>
        </w:trPr>
        <w:tc>
          <w:tcPr>
            <w:tcW w:w="697" w:type="dxa"/>
            <w:vMerge w:val="continue"/>
            <w:tcBorders>
              <w:left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096" w:type="dxa"/>
            <w:vMerge w:val="continue"/>
            <w:tcBorders>
              <w:left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highlight w:val="yellow"/>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b w:val="0"/>
                <w:bCs w:val="0"/>
                <w:color w:val="FF0000"/>
                <w:sz w:val="21"/>
                <w:szCs w:val="21"/>
                <w:highlight w:val="yellow"/>
                <w:lang w:eastAsia="zh-CN"/>
              </w:rPr>
            </w:pPr>
            <w:r>
              <w:rPr>
                <w:rFonts w:hint="eastAsia"/>
                <w:b w:val="0"/>
                <w:bCs w:val="0"/>
                <w:kern w:val="0"/>
                <w:sz w:val="21"/>
                <w:szCs w:val="21"/>
                <w:highlight w:val="none"/>
                <w:lang w:eastAsia="zh-CN"/>
              </w:rPr>
              <w:t>金融知识宣传</w:t>
            </w:r>
          </w:p>
        </w:tc>
        <w:tc>
          <w:tcPr>
            <w:tcW w:w="103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highlight w:val="yellow"/>
              </w:rPr>
            </w:pPr>
          </w:p>
        </w:tc>
        <w:tc>
          <w:tcPr>
            <w:tcW w:w="10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kern w:val="0"/>
                <w:sz w:val="21"/>
                <w:szCs w:val="21"/>
                <w:highlight w:val="yellow"/>
              </w:rPr>
            </w:pPr>
            <w:r>
              <w:rPr>
                <w:rFonts w:hint="eastAsia"/>
                <w:b w:val="0"/>
                <w:bCs w:val="0"/>
                <w:kern w:val="0"/>
                <w:sz w:val="21"/>
                <w:szCs w:val="21"/>
                <w:highlight w:val="none"/>
              </w:rPr>
              <w:t>标准分5分。积极落实与社区（网格）结对工作，全年与结对社区（网格）开展金融知识宣传12次以上，每增加1次，加0.5分，有特色的酌情予以加分，最高加分为2分。</w:t>
            </w:r>
          </w:p>
        </w:tc>
      </w:tr>
      <w:tr>
        <w:tblPrEx>
          <w:tblCellMar>
            <w:top w:w="0" w:type="dxa"/>
            <w:left w:w="108" w:type="dxa"/>
            <w:bottom w:w="0" w:type="dxa"/>
            <w:right w:w="108" w:type="dxa"/>
          </w:tblCellMar>
        </w:tblPrEx>
        <w:trPr>
          <w:trHeight w:val="854" w:hRule="atLeast"/>
          <w:jc w:val="center"/>
        </w:trPr>
        <w:tc>
          <w:tcPr>
            <w:tcW w:w="697"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rPr>
            </w:pPr>
          </w:p>
        </w:tc>
        <w:tc>
          <w:tcPr>
            <w:tcW w:w="1096"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hint="eastAsia"/>
                <w:b w:val="0"/>
                <w:bCs w:val="0"/>
                <w:kern w:val="0"/>
                <w:sz w:val="21"/>
                <w:szCs w:val="21"/>
                <w:highlight w:val="yellow"/>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highlight w:val="none"/>
              </w:rPr>
            </w:pPr>
            <w:r>
              <w:rPr>
                <w:rFonts w:hint="eastAsia"/>
                <w:b w:val="0"/>
                <w:bCs w:val="0"/>
                <w:sz w:val="21"/>
                <w:szCs w:val="21"/>
                <w:highlight w:val="none"/>
              </w:rPr>
              <w:t>特色金融试点</w:t>
            </w:r>
          </w:p>
        </w:tc>
        <w:tc>
          <w:tcPr>
            <w:tcW w:w="103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highlight w:val="none"/>
              </w:rPr>
            </w:pPr>
          </w:p>
        </w:tc>
        <w:tc>
          <w:tcPr>
            <w:tcW w:w="101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kern w:val="0"/>
                <w:sz w:val="21"/>
                <w:szCs w:val="21"/>
                <w:highlight w:val="none"/>
              </w:rPr>
            </w:pPr>
            <w:r>
              <w:rPr>
                <w:rFonts w:hint="eastAsia"/>
                <w:b w:val="0"/>
                <w:bCs w:val="0"/>
                <w:kern w:val="0"/>
                <w:sz w:val="21"/>
                <w:szCs w:val="21"/>
                <w:highlight w:val="none"/>
              </w:rPr>
              <w:t>标准分</w:t>
            </w:r>
            <w:r>
              <w:rPr>
                <w:rFonts w:hint="eastAsia"/>
                <w:b w:val="0"/>
                <w:bCs w:val="0"/>
                <w:kern w:val="0"/>
                <w:sz w:val="21"/>
                <w:szCs w:val="21"/>
                <w:highlight w:val="none"/>
                <w:lang w:val="en-US" w:eastAsia="zh-CN"/>
              </w:rPr>
              <w:t>10</w:t>
            </w:r>
            <w:r>
              <w:rPr>
                <w:rFonts w:hint="eastAsia"/>
                <w:b w:val="0"/>
                <w:bCs w:val="0"/>
                <w:kern w:val="0"/>
                <w:sz w:val="21"/>
                <w:szCs w:val="21"/>
                <w:highlight w:val="none"/>
              </w:rPr>
              <w:t>分。开展</w:t>
            </w:r>
            <w:r>
              <w:rPr>
                <w:rFonts w:hint="eastAsia"/>
                <w:b w:val="0"/>
                <w:bCs w:val="0"/>
                <w:kern w:val="0"/>
                <w:sz w:val="21"/>
                <w:szCs w:val="21"/>
                <w:highlight w:val="none"/>
                <w:lang w:eastAsia="zh-CN"/>
              </w:rPr>
              <w:t>楼宇金融、科技金融等</w:t>
            </w:r>
            <w:r>
              <w:rPr>
                <w:rFonts w:hint="eastAsia"/>
                <w:b w:val="0"/>
                <w:bCs w:val="0"/>
                <w:kern w:val="0"/>
                <w:sz w:val="21"/>
                <w:szCs w:val="21"/>
                <w:highlight w:val="none"/>
              </w:rPr>
              <w:t>特色金融试点工作</w:t>
            </w:r>
            <w:r>
              <w:rPr>
                <w:rFonts w:hint="eastAsia"/>
                <w:b w:val="0"/>
                <w:bCs w:val="0"/>
                <w:kern w:val="0"/>
                <w:sz w:val="21"/>
                <w:szCs w:val="21"/>
                <w:highlight w:val="none"/>
                <w:lang w:eastAsia="zh-CN"/>
              </w:rPr>
              <w:t>和争取上级行差别化政策支持</w:t>
            </w:r>
            <w:r>
              <w:rPr>
                <w:rFonts w:hint="eastAsia"/>
                <w:b w:val="0"/>
                <w:bCs w:val="0"/>
                <w:kern w:val="0"/>
                <w:sz w:val="21"/>
                <w:szCs w:val="21"/>
                <w:highlight w:val="none"/>
              </w:rPr>
              <w:t>，有成效、有影响的酌情给予加分，最高加分为</w:t>
            </w:r>
            <w:r>
              <w:rPr>
                <w:rFonts w:hint="eastAsia"/>
                <w:b w:val="0"/>
                <w:bCs w:val="0"/>
                <w:kern w:val="0"/>
                <w:sz w:val="21"/>
                <w:szCs w:val="21"/>
                <w:highlight w:val="none"/>
                <w:lang w:val="en-US" w:eastAsia="zh-CN"/>
              </w:rPr>
              <w:t>4</w:t>
            </w:r>
            <w:r>
              <w:rPr>
                <w:rFonts w:hint="eastAsia"/>
                <w:b w:val="0"/>
                <w:bCs w:val="0"/>
                <w:kern w:val="0"/>
                <w:sz w:val="21"/>
                <w:szCs w:val="21"/>
                <w:highlight w:val="none"/>
              </w:rPr>
              <w:t>分。助力</w:t>
            </w:r>
            <w:r>
              <w:rPr>
                <w:rFonts w:hint="eastAsia"/>
                <w:b w:val="0"/>
                <w:bCs w:val="0"/>
                <w:kern w:val="0"/>
                <w:sz w:val="21"/>
                <w:szCs w:val="21"/>
                <w:highlight w:val="none"/>
                <w:lang w:eastAsia="zh-CN"/>
              </w:rPr>
              <w:t>数字化改革、提升中心城区首位度、两个健康先行区建设</w:t>
            </w:r>
            <w:r>
              <w:rPr>
                <w:rFonts w:hint="eastAsia"/>
                <w:b w:val="0"/>
                <w:bCs w:val="0"/>
                <w:kern w:val="0"/>
                <w:sz w:val="21"/>
                <w:szCs w:val="21"/>
                <w:highlight w:val="none"/>
              </w:rPr>
              <w:t>等政府中心工作、为挂牌上市企业提供融资服务等酌情给予加分，最高加分为</w:t>
            </w:r>
            <w:r>
              <w:rPr>
                <w:rFonts w:hint="eastAsia"/>
                <w:b w:val="0"/>
                <w:bCs w:val="0"/>
                <w:kern w:val="0"/>
                <w:sz w:val="21"/>
                <w:szCs w:val="21"/>
                <w:highlight w:val="none"/>
                <w:lang w:val="en-US" w:eastAsia="zh-CN"/>
              </w:rPr>
              <w:t>6</w:t>
            </w:r>
            <w:r>
              <w:rPr>
                <w:rFonts w:hint="eastAsia"/>
                <w:b w:val="0"/>
                <w:bCs w:val="0"/>
                <w:kern w:val="0"/>
                <w:sz w:val="21"/>
                <w:szCs w:val="21"/>
                <w:highlight w:val="none"/>
              </w:rPr>
              <w:t xml:space="preserve">分。 </w:t>
            </w:r>
          </w:p>
        </w:tc>
      </w:tr>
      <w:tr>
        <w:tblPrEx>
          <w:tblCellMar>
            <w:top w:w="0" w:type="dxa"/>
            <w:left w:w="108" w:type="dxa"/>
            <w:bottom w:w="0" w:type="dxa"/>
            <w:right w:w="108" w:type="dxa"/>
          </w:tblCellMar>
        </w:tblPrEx>
        <w:trPr>
          <w:trHeight w:val="932"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rPr>
            </w:pPr>
            <w:r>
              <w:rPr>
                <w:rFonts w:hint="eastAsia"/>
                <w:b w:val="0"/>
                <w:bCs w:val="0"/>
                <w:kern w:val="0"/>
                <w:sz w:val="21"/>
                <w:szCs w:val="21"/>
              </w:rPr>
              <w:t>6</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highlight w:val="none"/>
              </w:rPr>
            </w:pPr>
            <w:r>
              <w:rPr>
                <w:rFonts w:hint="eastAsia"/>
                <w:b w:val="0"/>
                <w:bCs w:val="0"/>
                <w:kern w:val="0"/>
                <w:sz w:val="21"/>
                <w:szCs w:val="21"/>
                <w:highlight w:val="none"/>
              </w:rPr>
              <w:t>负面清单</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sz w:val="21"/>
                <w:szCs w:val="21"/>
                <w:highlight w:val="none"/>
              </w:rPr>
            </w:pPr>
            <w:r>
              <w:rPr>
                <w:rFonts w:hint="eastAsia"/>
                <w:b w:val="0"/>
                <w:bCs w:val="0"/>
                <w:sz w:val="21"/>
                <w:szCs w:val="21"/>
                <w:highlight w:val="none"/>
              </w:rPr>
              <w:t>文明城市创建</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val="0"/>
                <w:kern w:val="0"/>
                <w:sz w:val="21"/>
                <w:szCs w:val="21"/>
                <w:highlight w:val="none"/>
              </w:rPr>
            </w:pPr>
          </w:p>
        </w:tc>
        <w:tc>
          <w:tcPr>
            <w:tcW w:w="10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val="0"/>
                <w:kern w:val="0"/>
                <w:sz w:val="21"/>
                <w:szCs w:val="21"/>
                <w:highlight w:val="none"/>
              </w:rPr>
            </w:pPr>
            <w:r>
              <w:rPr>
                <w:rFonts w:hint="eastAsia"/>
                <w:b w:val="0"/>
                <w:bCs w:val="0"/>
                <w:kern w:val="0"/>
                <w:sz w:val="21"/>
                <w:szCs w:val="21"/>
                <w:highlight w:val="none"/>
              </w:rPr>
              <w:t>在省、市、区文明城市创建督查中被通报的每次扣2分。通报后未整改的再扣2分。本项最高扣分为15分。</w:t>
            </w:r>
          </w:p>
        </w:tc>
      </w:tr>
    </w:tbl>
    <w:p>
      <w:pPr>
        <w:adjustRightInd w:val="0"/>
        <w:snapToGrid w:val="0"/>
        <w:spacing w:line="580" w:lineRule="exact"/>
        <w:rPr>
          <w:rFonts w:ascii="黑体" w:eastAsia="黑体"/>
          <w:color w:val="000000"/>
        </w:rPr>
      </w:pPr>
      <w:r>
        <w:br w:type="page"/>
      </w:r>
      <w:r>
        <w:rPr>
          <w:rFonts w:hint="eastAsia" w:ascii="黑体" w:eastAsia="黑体"/>
          <w:color w:val="000000"/>
        </w:rPr>
        <w:t>附件</w:t>
      </w:r>
      <w:r>
        <w:rPr>
          <w:rFonts w:ascii="黑体" w:eastAsia="黑体"/>
          <w:color w:val="000000"/>
        </w:rPr>
        <w:t>2</w:t>
      </w:r>
    </w:p>
    <w:p>
      <w:pPr>
        <w:widowControl/>
        <w:spacing w:line="580" w:lineRule="exact"/>
        <w:jc w:val="center"/>
        <w:rPr>
          <w:color w:val="000000"/>
          <w:highlight w:val="none"/>
        </w:rPr>
      </w:pPr>
      <w:r>
        <w:rPr>
          <w:rFonts w:hint="eastAsia" w:ascii="小标宋" w:eastAsia="小标宋"/>
          <w:color w:val="000000"/>
          <w:sz w:val="44"/>
          <w:szCs w:val="44"/>
          <w:highlight w:val="none"/>
        </w:rPr>
        <w:t>保险业金融机构支持鹿城区经济发展业绩考评表</w:t>
      </w:r>
    </w:p>
    <w:p>
      <w:pPr>
        <w:adjustRightInd w:val="0"/>
        <w:snapToGrid w:val="0"/>
        <w:spacing w:line="580" w:lineRule="exact"/>
        <w:jc w:val="center"/>
        <w:rPr>
          <w:rFonts w:ascii="小标宋" w:eastAsia="小标宋"/>
          <w:color w:val="000000"/>
          <w:sz w:val="44"/>
          <w:szCs w:val="44"/>
          <w:highlight w:val="none"/>
        </w:rPr>
      </w:pPr>
    </w:p>
    <w:tbl>
      <w:tblPr>
        <w:tblStyle w:val="5"/>
        <w:tblW w:w="14023" w:type="dxa"/>
        <w:jc w:val="center"/>
        <w:tblLayout w:type="fixed"/>
        <w:tblCellMar>
          <w:top w:w="0" w:type="dxa"/>
          <w:left w:w="108" w:type="dxa"/>
          <w:bottom w:w="0" w:type="dxa"/>
          <w:right w:w="108" w:type="dxa"/>
        </w:tblCellMar>
      </w:tblPr>
      <w:tblGrid>
        <w:gridCol w:w="752"/>
        <w:gridCol w:w="1485"/>
        <w:gridCol w:w="1986"/>
        <w:gridCol w:w="1043"/>
        <w:gridCol w:w="8757"/>
      </w:tblGrid>
      <w:tr>
        <w:tblPrEx>
          <w:tblCellMar>
            <w:top w:w="0" w:type="dxa"/>
            <w:left w:w="108" w:type="dxa"/>
            <w:bottom w:w="0" w:type="dxa"/>
            <w:right w:w="108" w:type="dxa"/>
          </w:tblCellMar>
        </w:tblPrEx>
        <w:trPr>
          <w:trHeight w:val="422"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color w:val="000000"/>
                <w:kern w:val="0"/>
                <w:sz w:val="24"/>
                <w:szCs w:val="24"/>
                <w:highlight w:val="none"/>
              </w:rPr>
            </w:pPr>
            <w:r>
              <w:rPr>
                <w:rFonts w:hint="eastAsia" w:ascii="黑体" w:eastAsia="黑体"/>
                <w:color w:val="000000"/>
                <w:kern w:val="0"/>
                <w:sz w:val="24"/>
                <w:szCs w:val="24"/>
                <w:highlight w:val="none"/>
              </w:rPr>
              <w:t>序号</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color w:val="000000"/>
                <w:kern w:val="0"/>
                <w:sz w:val="24"/>
                <w:szCs w:val="24"/>
                <w:highlight w:val="none"/>
              </w:rPr>
            </w:pPr>
            <w:r>
              <w:rPr>
                <w:rFonts w:hint="eastAsia" w:ascii="黑体" w:eastAsia="黑体"/>
                <w:color w:val="000000"/>
                <w:kern w:val="0"/>
                <w:sz w:val="24"/>
                <w:szCs w:val="24"/>
                <w:highlight w:val="none"/>
              </w:rPr>
              <w:t>项目</w:t>
            </w:r>
          </w:p>
        </w:tc>
        <w:tc>
          <w:tcPr>
            <w:tcW w:w="19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color w:val="000000"/>
                <w:kern w:val="0"/>
                <w:sz w:val="24"/>
                <w:szCs w:val="24"/>
                <w:highlight w:val="none"/>
              </w:rPr>
            </w:pPr>
            <w:r>
              <w:rPr>
                <w:rFonts w:hint="eastAsia" w:ascii="黑体" w:eastAsia="黑体"/>
                <w:color w:val="000000"/>
                <w:kern w:val="0"/>
                <w:sz w:val="24"/>
                <w:szCs w:val="24"/>
                <w:highlight w:val="none"/>
              </w:rPr>
              <w:t>具体内容</w:t>
            </w:r>
          </w:p>
        </w:tc>
        <w:tc>
          <w:tcPr>
            <w:tcW w:w="10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color w:val="000000"/>
                <w:kern w:val="0"/>
                <w:sz w:val="24"/>
                <w:szCs w:val="24"/>
                <w:highlight w:val="none"/>
              </w:rPr>
            </w:pPr>
            <w:r>
              <w:rPr>
                <w:rFonts w:hint="eastAsia" w:ascii="黑体" w:eastAsia="黑体"/>
                <w:color w:val="000000"/>
                <w:kern w:val="0"/>
                <w:sz w:val="24"/>
                <w:szCs w:val="24"/>
                <w:highlight w:val="none"/>
              </w:rPr>
              <w:t>标准分</w:t>
            </w:r>
          </w:p>
        </w:tc>
        <w:tc>
          <w:tcPr>
            <w:tcW w:w="87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color w:val="000000"/>
                <w:kern w:val="0"/>
                <w:sz w:val="24"/>
                <w:szCs w:val="24"/>
                <w:highlight w:val="none"/>
              </w:rPr>
            </w:pPr>
            <w:r>
              <w:rPr>
                <w:rFonts w:hint="eastAsia" w:ascii="黑体" w:eastAsia="黑体"/>
                <w:color w:val="000000"/>
                <w:kern w:val="0"/>
                <w:sz w:val="24"/>
                <w:szCs w:val="24"/>
                <w:highlight w:val="none"/>
              </w:rPr>
              <w:t>评分标准</w:t>
            </w:r>
          </w:p>
        </w:tc>
      </w:tr>
      <w:tr>
        <w:tblPrEx>
          <w:tblCellMar>
            <w:top w:w="0" w:type="dxa"/>
            <w:left w:w="108" w:type="dxa"/>
            <w:bottom w:w="0" w:type="dxa"/>
            <w:right w:w="108" w:type="dxa"/>
          </w:tblCellMar>
        </w:tblPrEx>
        <w:trPr>
          <w:trHeight w:val="999" w:hRule="atLeast"/>
          <w:jc w:val="center"/>
        </w:trPr>
        <w:tc>
          <w:tcPr>
            <w:tcW w:w="75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sz w:val="21"/>
                <w:szCs w:val="21"/>
                <w:highlight w:val="none"/>
              </w:rPr>
            </w:pPr>
            <w:r>
              <w:rPr>
                <w:rFonts w:hint="eastAsia"/>
                <w:b w:val="0"/>
                <w:bCs/>
                <w:color w:val="000000"/>
                <w:sz w:val="21"/>
                <w:szCs w:val="21"/>
                <w:highlight w:val="none"/>
              </w:rPr>
              <w:t>1</w:t>
            </w:r>
          </w:p>
        </w:tc>
        <w:tc>
          <w:tcPr>
            <w:tcW w:w="14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sz w:val="21"/>
                <w:szCs w:val="21"/>
                <w:highlight w:val="none"/>
              </w:rPr>
            </w:pPr>
            <w:r>
              <w:rPr>
                <w:rFonts w:hint="eastAsia"/>
                <w:b w:val="0"/>
                <w:bCs/>
                <w:color w:val="000000"/>
                <w:sz w:val="21"/>
                <w:szCs w:val="21"/>
                <w:highlight w:val="none"/>
              </w:rPr>
              <w:t>稳定增长</w:t>
            </w:r>
          </w:p>
        </w:tc>
        <w:tc>
          <w:tcPr>
            <w:tcW w:w="1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80" w:lineRule="exact"/>
              <w:jc w:val="center"/>
              <w:textAlignment w:val="auto"/>
              <w:rPr>
                <w:b w:val="0"/>
                <w:bCs/>
                <w:color w:val="000000"/>
                <w:sz w:val="21"/>
                <w:szCs w:val="21"/>
                <w:highlight w:val="none"/>
              </w:rPr>
            </w:pPr>
            <w:r>
              <w:rPr>
                <w:rFonts w:hint="eastAsia"/>
                <w:b w:val="0"/>
                <w:bCs/>
                <w:color w:val="000000"/>
                <w:sz w:val="21"/>
                <w:szCs w:val="21"/>
                <w:highlight w:val="none"/>
              </w:rPr>
              <w:t>保费增速</w:t>
            </w:r>
          </w:p>
        </w:tc>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sz w:val="21"/>
                <w:szCs w:val="21"/>
                <w:highlight w:val="none"/>
              </w:rPr>
            </w:pPr>
            <w:r>
              <w:rPr>
                <w:rFonts w:hint="eastAsia"/>
                <w:b w:val="0"/>
                <w:bCs/>
                <w:color w:val="000000"/>
                <w:sz w:val="21"/>
                <w:szCs w:val="21"/>
                <w:highlight w:val="none"/>
              </w:rPr>
              <w:t>30分</w:t>
            </w: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80" w:lineRule="exact"/>
              <w:ind w:firstLine="420" w:firstLineChars="200"/>
              <w:jc w:val="left"/>
              <w:textAlignment w:val="auto"/>
              <w:rPr>
                <w:b w:val="0"/>
                <w:bCs/>
                <w:color w:val="000000"/>
                <w:kern w:val="0"/>
                <w:sz w:val="21"/>
                <w:szCs w:val="21"/>
                <w:highlight w:val="none"/>
              </w:rPr>
            </w:pPr>
            <w:r>
              <w:rPr>
                <w:rFonts w:hint="eastAsia"/>
                <w:b w:val="0"/>
                <w:bCs/>
                <w:color w:val="000000"/>
                <w:kern w:val="0"/>
                <w:sz w:val="21"/>
                <w:szCs w:val="21"/>
                <w:highlight w:val="none"/>
              </w:rPr>
              <w:t>保险机构按照原保险保费收入合计。保险机构原保险保费收入增速达10%得20分，每增加1个百分点（不足1个百分点按比例折算）加1分，加满为止；每减1个百分点，扣1分，扣完为止。</w:t>
            </w:r>
          </w:p>
        </w:tc>
      </w:tr>
      <w:tr>
        <w:tblPrEx>
          <w:tblCellMar>
            <w:top w:w="0" w:type="dxa"/>
            <w:left w:w="108" w:type="dxa"/>
            <w:bottom w:w="0" w:type="dxa"/>
            <w:right w:w="108" w:type="dxa"/>
          </w:tblCellMar>
        </w:tblPrEx>
        <w:trPr>
          <w:trHeight w:val="839" w:hRule="atLeast"/>
          <w:jc w:val="center"/>
        </w:trPr>
        <w:tc>
          <w:tcPr>
            <w:tcW w:w="75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2</w:t>
            </w:r>
          </w:p>
        </w:tc>
        <w:tc>
          <w:tcPr>
            <w:tcW w:w="14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经济补偿</w:t>
            </w:r>
          </w:p>
        </w:tc>
        <w:tc>
          <w:tcPr>
            <w:tcW w:w="1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80" w:lineRule="exact"/>
              <w:jc w:val="center"/>
              <w:textAlignment w:val="auto"/>
              <w:rPr>
                <w:b w:val="0"/>
                <w:bCs/>
                <w:color w:val="000000"/>
                <w:sz w:val="21"/>
                <w:szCs w:val="21"/>
                <w:highlight w:val="none"/>
              </w:rPr>
            </w:pPr>
            <w:r>
              <w:rPr>
                <w:rFonts w:hint="eastAsia"/>
                <w:b w:val="0"/>
                <w:bCs/>
                <w:color w:val="000000"/>
                <w:sz w:val="21"/>
                <w:szCs w:val="21"/>
                <w:highlight w:val="none"/>
              </w:rPr>
              <w:t>赔付增速</w:t>
            </w:r>
          </w:p>
        </w:tc>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30分</w:t>
            </w: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80" w:lineRule="exact"/>
              <w:ind w:firstLine="420" w:firstLineChars="200"/>
              <w:textAlignment w:val="auto"/>
              <w:rPr>
                <w:b w:val="0"/>
                <w:bCs/>
                <w:color w:val="000000"/>
                <w:kern w:val="0"/>
                <w:sz w:val="21"/>
                <w:szCs w:val="21"/>
                <w:highlight w:val="none"/>
              </w:rPr>
            </w:pPr>
            <w:r>
              <w:rPr>
                <w:rFonts w:hint="eastAsia"/>
                <w:b w:val="0"/>
                <w:bCs/>
                <w:color w:val="000000"/>
                <w:kern w:val="0"/>
                <w:sz w:val="21"/>
                <w:szCs w:val="21"/>
                <w:highlight w:val="none"/>
              </w:rPr>
              <w:t>保险机构按照赔付支出计算。保险机构赔付支出增速达10%得20分，每增加1个百分点（不足1个百分点按比例折算），加1分，加满为止，每减少1个百分点，扣1分，扣完为止。</w:t>
            </w:r>
          </w:p>
        </w:tc>
      </w:tr>
      <w:tr>
        <w:tblPrEx>
          <w:tblCellMar>
            <w:top w:w="0" w:type="dxa"/>
            <w:left w:w="108" w:type="dxa"/>
            <w:bottom w:w="0" w:type="dxa"/>
            <w:right w:w="108" w:type="dxa"/>
          </w:tblCellMar>
        </w:tblPrEx>
        <w:trPr>
          <w:trHeight w:val="802" w:hRule="atLeast"/>
          <w:jc w:val="center"/>
        </w:trPr>
        <w:tc>
          <w:tcPr>
            <w:tcW w:w="7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3</w:t>
            </w:r>
          </w:p>
        </w:tc>
        <w:tc>
          <w:tcPr>
            <w:tcW w:w="14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工作衔接</w:t>
            </w:r>
          </w:p>
        </w:tc>
        <w:tc>
          <w:tcPr>
            <w:tcW w:w="19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上报金融数据</w:t>
            </w:r>
          </w:p>
        </w:tc>
        <w:tc>
          <w:tcPr>
            <w:tcW w:w="104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20分</w:t>
            </w: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80" w:lineRule="exact"/>
              <w:ind w:firstLine="420" w:firstLineChars="200"/>
              <w:textAlignment w:val="auto"/>
              <w:rPr>
                <w:b w:val="0"/>
                <w:bCs/>
                <w:color w:val="000000"/>
                <w:kern w:val="0"/>
                <w:sz w:val="21"/>
                <w:szCs w:val="21"/>
                <w:highlight w:val="none"/>
              </w:rPr>
            </w:pPr>
            <w:r>
              <w:rPr>
                <w:rFonts w:hint="eastAsia"/>
                <w:b w:val="0"/>
                <w:bCs/>
                <w:color w:val="000000"/>
                <w:kern w:val="0"/>
                <w:sz w:val="21"/>
                <w:szCs w:val="21"/>
                <w:highlight w:val="none"/>
              </w:rPr>
              <w:t>标准分5分。及时、准确、全面报送数据、报表等资料的，得5分，一次不上报的扣1分，迟报一次扣0.5分，扣完为止。</w:t>
            </w:r>
          </w:p>
        </w:tc>
      </w:tr>
      <w:tr>
        <w:tblPrEx>
          <w:tblCellMar>
            <w:top w:w="0" w:type="dxa"/>
            <w:left w:w="108" w:type="dxa"/>
            <w:bottom w:w="0" w:type="dxa"/>
            <w:right w:w="108" w:type="dxa"/>
          </w:tblCellMar>
        </w:tblPrEx>
        <w:trPr>
          <w:trHeight w:val="816" w:hRule="atLeast"/>
          <w:jc w:val="center"/>
        </w:trPr>
        <w:tc>
          <w:tcPr>
            <w:tcW w:w="7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p>
        </w:tc>
        <w:tc>
          <w:tcPr>
            <w:tcW w:w="148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p>
        </w:tc>
        <w:tc>
          <w:tcPr>
            <w:tcW w:w="1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参加区相关会议情况</w:t>
            </w:r>
          </w:p>
        </w:tc>
        <w:tc>
          <w:tcPr>
            <w:tcW w:w="104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b w:val="0"/>
                <w:bCs/>
                <w:color w:val="000000"/>
                <w:kern w:val="0"/>
                <w:sz w:val="21"/>
                <w:szCs w:val="21"/>
                <w:highlight w:val="none"/>
              </w:rPr>
            </w:pP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80" w:lineRule="exact"/>
              <w:ind w:firstLine="420" w:firstLineChars="200"/>
              <w:textAlignment w:val="auto"/>
              <w:rPr>
                <w:b w:val="0"/>
                <w:bCs/>
                <w:color w:val="000000"/>
                <w:kern w:val="0"/>
                <w:sz w:val="21"/>
                <w:szCs w:val="21"/>
                <w:highlight w:val="none"/>
              </w:rPr>
            </w:pPr>
            <w:r>
              <w:rPr>
                <w:rFonts w:hint="eastAsia"/>
                <w:b w:val="0"/>
                <w:bCs/>
                <w:color w:val="000000"/>
                <w:kern w:val="0"/>
                <w:sz w:val="21"/>
                <w:szCs w:val="21"/>
                <w:highlight w:val="none"/>
              </w:rPr>
              <w:t>标准分10分。按时参加区里组织的各项会议的，得10分，缺席一次扣2分，迟到一次扣0.5分，扣完为止。</w:t>
            </w:r>
          </w:p>
        </w:tc>
      </w:tr>
      <w:tr>
        <w:tblPrEx>
          <w:tblCellMar>
            <w:top w:w="0" w:type="dxa"/>
            <w:left w:w="108" w:type="dxa"/>
            <w:bottom w:w="0" w:type="dxa"/>
            <w:right w:w="108" w:type="dxa"/>
          </w:tblCellMar>
        </w:tblPrEx>
        <w:trPr>
          <w:trHeight w:val="733" w:hRule="atLeast"/>
          <w:jc w:val="center"/>
        </w:trPr>
        <w:tc>
          <w:tcPr>
            <w:tcW w:w="7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p>
        </w:tc>
        <w:tc>
          <w:tcPr>
            <w:tcW w:w="148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p>
        </w:tc>
        <w:tc>
          <w:tcPr>
            <w:tcW w:w="1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上报金融信息</w:t>
            </w:r>
          </w:p>
        </w:tc>
        <w:tc>
          <w:tcPr>
            <w:tcW w:w="104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b w:val="0"/>
                <w:bCs/>
                <w:color w:val="000000"/>
                <w:kern w:val="0"/>
                <w:sz w:val="21"/>
                <w:szCs w:val="21"/>
                <w:highlight w:val="none"/>
              </w:rPr>
            </w:pP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80" w:lineRule="exact"/>
              <w:ind w:firstLine="420" w:firstLineChars="200"/>
              <w:textAlignment w:val="auto"/>
              <w:rPr>
                <w:b w:val="0"/>
                <w:bCs/>
                <w:color w:val="000000"/>
                <w:kern w:val="0"/>
                <w:sz w:val="21"/>
                <w:szCs w:val="21"/>
                <w:highlight w:val="none"/>
              </w:rPr>
            </w:pPr>
            <w:r>
              <w:rPr>
                <w:rFonts w:hint="eastAsia"/>
                <w:b w:val="0"/>
                <w:bCs/>
                <w:color w:val="000000"/>
                <w:kern w:val="0"/>
                <w:sz w:val="21"/>
                <w:szCs w:val="21"/>
                <w:highlight w:val="none"/>
              </w:rPr>
              <w:t>标准分5分。每月报送1篇以上金融信息，报送1篇得0.4分，最高得分不超过5分。</w:t>
            </w:r>
          </w:p>
        </w:tc>
      </w:tr>
      <w:tr>
        <w:tblPrEx>
          <w:tblCellMar>
            <w:top w:w="0" w:type="dxa"/>
            <w:left w:w="108" w:type="dxa"/>
            <w:bottom w:w="0" w:type="dxa"/>
            <w:right w:w="108" w:type="dxa"/>
          </w:tblCellMar>
        </w:tblPrEx>
        <w:trPr>
          <w:trHeight w:val="865"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4</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合规经营</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监管部门处罚</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10</w:t>
            </w:r>
          </w:p>
        </w:tc>
        <w:tc>
          <w:tcPr>
            <w:tcW w:w="8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80" w:lineRule="exact"/>
              <w:ind w:firstLine="420" w:firstLineChars="200"/>
              <w:textAlignment w:val="auto"/>
              <w:rPr>
                <w:b w:val="0"/>
                <w:bCs/>
                <w:color w:val="000000"/>
                <w:kern w:val="0"/>
                <w:sz w:val="21"/>
                <w:szCs w:val="21"/>
                <w:highlight w:val="none"/>
              </w:rPr>
            </w:pPr>
            <w:r>
              <w:rPr>
                <w:rFonts w:hint="eastAsia"/>
                <w:b w:val="0"/>
                <w:bCs/>
                <w:color w:val="000000"/>
                <w:kern w:val="0"/>
                <w:sz w:val="21"/>
                <w:szCs w:val="21"/>
                <w:highlight w:val="none"/>
              </w:rPr>
              <w:t>保险业金融机构因违规受到管理（监管）部门查处的，每发生一例扣2分；保险业金融机构发生重大经济案件，被司法部门立案查处的，每发生一例扣4分。</w:t>
            </w:r>
          </w:p>
        </w:tc>
      </w:tr>
      <w:tr>
        <w:tblPrEx>
          <w:tblCellMar>
            <w:top w:w="0" w:type="dxa"/>
            <w:left w:w="108" w:type="dxa"/>
            <w:bottom w:w="0" w:type="dxa"/>
            <w:right w:w="108" w:type="dxa"/>
          </w:tblCellMar>
        </w:tblPrEx>
        <w:trPr>
          <w:trHeight w:val="862"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5</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其他项目</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eastAsia="仿宋_GB2312"/>
                <w:b w:val="0"/>
                <w:bCs/>
                <w:color w:val="000000"/>
                <w:kern w:val="0"/>
                <w:sz w:val="21"/>
                <w:szCs w:val="21"/>
                <w:highlight w:val="none"/>
                <w:lang w:eastAsia="zh-CN"/>
              </w:rPr>
            </w:pPr>
            <w:r>
              <w:rPr>
                <w:rFonts w:hint="eastAsia"/>
                <w:b w:val="0"/>
                <w:bCs/>
                <w:color w:val="000000"/>
                <w:kern w:val="0"/>
                <w:sz w:val="21"/>
                <w:szCs w:val="21"/>
                <w:highlight w:val="none"/>
                <w:lang w:eastAsia="zh-CN"/>
              </w:rPr>
              <w:t>服务创新业务</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b w:val="0"/>
                <w:bCs/>
                <w:color w:val="000000"/>
                <w:kern w:val="0"/>
                <w:sz w:val="21"/>
                <w:szCs w:val="21"/>
                <w:highlight w:val="none"/>
              </w:rPr>
            </w:pPr>
            <w:r>
              <w:rPr>
                <w:rFonts w:hint="eastAsia"/>
                <w:b w:val="0"/>
                <w:bCs/>
                <w:color w:val="000000"/>
                <w:kern w:val="0"/>
                <w:sz w:val="21"/>
                <w:szCs w:val="21"/>
                <w:highlight w:val="none"/>
              </w:rPr>
              <w:t>10</w:t>
            </w:r>
          </w:p>
        </w:tc>
        <w:tc>
          <w:tcPr>
            <w:tcW w:w="8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80" w:lineRule="exact"/>
              <w:ind w:firstLine="420" w:firstLineChars="200"/>
              <w:textAlignment w:val="auto"/>
              <w:rPr>
                <w:b w:val="0"/>
                <w:bCs/>
                <w:color w:val="000000"/>
                <w:kern w:val="0"/>
                <w:sz w:val="21"/>
                <w:szCs w:val="21"/>
                <w:highlight w:val="none"/>
              </w:rPr>
            </w:pPr>
            <w:r>
              <w:rPr>
                <w:rFonts w:hint="eastAsia"/>
                <w:b w:val="0"/>
                <w:bCs/>
                <w:color w:val="000000"/>
                <w:kern w:val="0"/>
                <w:sz w:val="21"/>
                <w:szCs w:val="21"/>
                <w:highlight w:val="none"/>
                <w:lang w:eastAsia="zh-CN"/>
              </w:rPr>
              <w:t>推出服务创新产品助力鹿城区社会经济发展，以保额为评判依据，按排名得分，第一得</w:t>
            </w:r>
            <w:r>
              <w:rPr>
                <w:rFonts w:hint="eastAsia"/>
                <w:b w:val="0"/>
                <w:bCs/>
                <w:color w:val="000000"/>
                <w:kern w:val="0"/>
                <w:sz w:val="21"/>
                <w:szCs w:val="21"/>
                <w:highlight w:val="none"/>
                <w:lang w:val="en-US" w:eastAsia="zh-CN"/>
              </w:rPr>
              <w:t>10分，依次递减1分</w:t>
            </w:r>
            <w:r>
              <w:rPr>
                <w:rFonts w:hint="eastAsia"/>
                <w:b w:val="0"/>
                <w:bCs/>
                <w:color w:val="000000"/>
                <w:kern w:val="0"/>
                <w:sz w:val="21"/>
                <w:szCs w:val="21"/>
                <w:highlight w:val="none"/>
              </w:rPr>
              <w:t>。</w:t>
            </w:r>
          </w:p>
        </w:tc>
      </w:tr>
    </w:tbl>
    <w:p>
      <w:pPr>
        <w:spacing w:line="580" w:lineRule="exact"/>
        <w:rPr>
          <w:rFonts w:ascii="黑体" w:eastAsia="黑体"/>
        </w:rPr>
      </w:pPr>
      <w:r>
        <w:rPr>
          <w:rFonts w:hint="eastAsia" w:ascii="黑体" w:eastAsia="黑体"/>
        </w:rPr>
        <w:t>附件3</w:t>
      </w:r>
    </w:p>
    <w:p>
      <w:pPr>
        <w:spacing w:line="580" w:lineRule="exact"/>
        <w:jc w:val="center"/>
        <w:rPr>
          <w:rFonts w:ascii="小标宋" w:eastAsia="小标宋"/>
          <w:sz w:val="44"/>
          <w:szCs w:val="44"/>
        </w:rPr>
      </w:pPr>
      <w:r>
        <w:rPr>
          <w:rFonts w:hint="eastAsia" w:ascii="小标宋" w:eastAsia="小标宋"/>
          <w:sz w:val="44"/>
          <w:szCs w:val="44"/>
        </w:rPr>
        <w:t>证券业金融机构支持鹿城区经济发展业绩考评表</w:t>
      </w:r>
    </w:p>
    <w:p>
      <w:pPr>
        <w:spacing w:line="580" w:lineRule="exact"/>
        <w:jc w:val="center"/>
        <w:rPr>
          <w:rFonts w:ascii="小标宋" w:eastAsia="小标宋"/>
          <w:sz w:val="44"/>
          <w:szCs w:val="44"/>
        </w:rPr>
      </w:pPr>
    </w:p>
    <w:tbl>
      <w:tblPr>
        <w:tblStyle w:val="5"/>
        <w:tblW w:w="14899" w:type="dxa"/>
        <w:jc w:val="center"/>
        <w:tblLayout w:type="fixed"/>
        <w:tblCellMar>
          <w:top w:w="0" w:type="dxa"/>
          <w:left w:w="108" w:type="dxa"/>
          <w:bottom w:w="0" w:type="dxa"/>
          <w:right w:w="108" w:type="dxa"/>
        </w:tblCellMar>
      </w:tblPr>
      <w:tblGrid>
        <w:gridCol w:w="724"/>
        <w:gridCol w:w="1134"/>
        <w:gridCol w:w="1559"/>
        <w:gridCol w:w="1134"/>
        <w:gridCol w:w="10348"/>
      </w:tblGrid>
      <w:tr>
        <w:tblPrEx>
          <w:tblCellMar>
            <w:top w:w="0" w:type="dxa"/>
            <w:left w:w="108" w:type="dxa"/>
            <w:bottom w:w="0" w:type="dxa"/>
            <w:right w:w="108" w:type="dxa"/>
          </w:tblCellMar>
        </w:tblPrEx>
        <w:trPr>
          <w:trHeight w:val="590" w:hRule="exac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eastAsia="黑体"/>
                <w:kern w:val="0"/>
                <w:sz w:val="24"/>
                <w:szCs w:val="24"/>
              </w:rPr>
            </w:pPr>
            <w:r>
              <w:rPr>
                <w:rFonts w:hint="eastAsia" w:ascii="黑体" w:eastAsia="黑体"/>
                <w:kern w:val="0"/>
                <w:sz w:val="24"/>
                <w:szCs w:val="24"/>
              </w:rPr>
              <w:t>序号</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eastAsia="黑体"/>
                <w:kern w:val="0"/>
                <w:sz w:val="24"/>
                <w:szCs w:val="24"/>
              </w:rPr>
            </w:pPr>
            <w:r>
              <w:rPr>
                <w:rFonts w:hint="eastAsia" w:ascii="黑体" w:eastAsia="黑体"/>
                <w:kern w:val="0"/>
                <w:sz w:val="24"/>
                <w:szCs w:val="24"/>
              </w:rPr>
              <w:t>项目</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eastAsia="黑体"/>
                <w:kern w:val="0"/>
                <w:sz w:val="24"/>
                <w:szCs w:val="24"/>
              </w:rPr>
            </w:pPr>
            <w:r>
              <w:rPr>
                <w:rFonts w:hint="eastAsia" w:ascii="黑体" w:eastAsia="黑体"/>
                <w:kern w:val="0"/>
                <w:sz w:val="24"/>
                <w:szCs w:val="24"/>
              </w:rPr>
              <w:t>具体内容</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eastAsia="黑体"/>
                <w:kern w:val="0"/>
                <w:sz w:val="24"/>
                <w:szCs w:val="24"/>
              </w:rPr>
            </w:pPr>
            <w:r>
              <w:rPr>
                <w:rFonts w:hint="eastAsia" w:ascii="黑体" w:eastAsia="黑体"/>
                <w:kern w:val="0"/>
                <w:sz w:val="24"/>
                <w:szCs w:val="24"/>
              </w:rPr>
              <w:t>标准分</w:t>
            </w:r>
          </w:p>
        </w:tc>
        <w:tc>
          <w:tcPr>
            <w:tcW w:w="10348"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eastAsia="黑体"/>
                <w:kern w:val="0"/>
                <w:sz w:val="24"/>
                <w:szCs w:val="24"/>
              </w:rPr>
            </w:pPr>
            <w:r>
              <w:rPr>
                <w:rFonts w:hint="eastAsia" w:ascii="黑体" w:eastAsia="黑体"/>
                <w:kern w:val="0"/>
                <w:sz w:val="24"/>
                <w:szCs w:val="24"/>
              </w:rPr>
              <w:t>评分标准</w:t>
            </w:r>
          </w:p>
        </w:tc>
      </w:tr>
      <w:tr>
        <w:tblPrEx>
          <w:tblCellMar>
            <w:top w:w="0" w:type="dxa"/>
            <w:left w:w="108" w:type="dxa"/>
            <w:bottom w:w="0" w:type="dxa"/>
            <w:right w:w="108" w:type="dxa"/>
          </w:tblCellMar>
        </w:tblPrEx>
        <w:trPr>
          <w:trHeight w:val="780"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rFonts w:hint="eastAsia"/>
                <w:b w:val="0"/>
                <w:bCs w:val="0"/>
                <w:kern w:val="0"/>
                <w:sz w:val="21"/>
                <w:szCs w:val="21"/>
              </w:rPr>
            </w:pPr>
            <w:r>
              <w:rPr>
                <w:rFonts w:hint="eastAsia"/>
                <w:kern w:val="0"/>
                <w:sz w:val="21"/>
                <w:szCs w:val="21"/>
              </w:rPr>
              <w:t>1</w:t>
            </w:r>
          </w:p>
        </w:tc>
        <w:tc>
          <w:tcPr>
            <w:tcW w:w="1134"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rFonts w:hint="eastAsia"/>
                <w:b w:val="0"/>
                <w:bCs w:val="0"/>
                <w:kern w:val="0"/>
                <w:sz w:val="21"/>
                <w:szCs w:val="21"/>
              </w:rPr>
            </w:pPr>
            <w:r>
              <w:rPr>
                <w:rFonts w:hint="eastAsia"/>
                <w:kern w:val="0"/>
                <w:sz w:val="21"/>
                <w:szCs w:val="21"/>
              </w:rPr>
              <w:t>经纪业务</w:t>
            </w:r>
          </w:p>
        </w:tc>
        <w:tc>
          <w:tcPr>
            <w:tcW w:w="1559"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rFonts w:hint="eastAsia"/>
                <w:b w:val="0"/>
                <w:bCs w:val="0"/>
                <w:sz w:val="21"/>
                <w:szCs w:val="21"/>
              </w:rPr>
            </w:pPr>
            <w:r>
              <w:rPr>
                <w:rFonts w:hint="eastAsia"/>
                <w:kern w:val="0"/>
                <w:sz w:val="21"/>
                <w:szCs w:val="21"/>
              </w:rPr>
              <w:t>业务交易量和托管资产额</w:t>
            </w:r>
          </w:p>
        </w:tc>
        <w:tc>
          <w:tcPr>
            <w:tcW w:w="1134"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rFonts w:hint="eastAsia"/>
                <w:b w:val="0"/>
                <w:bCs w:val="0"/>
                <w:kern w:val="0"/>
                <w:sz w:val="21"/>
                <w:szCs w:val="21"/>
              </w:rPr>
            </w:pPr>
            <w:r>
              <w:rPr>
                <w:rFonts w:hint="eastAsia"/>
                <w:kern w:val="0"/>
                <w:sz w:val="21"/>
                <w:szCs w:val="21"/>
              </w:rPr>
              <w:t>30分</w:t>
            </w:r>
          </w:p>
        </w:tc>
        <w:tc>
          <w:tcPr>
            <w:tcW w:w="10348" w:type="dxa"/>
            <w:tcBorders>
              <w:top w:val="nil"/>
              <w:left w:val="single" w:color="auto" w:sz="4" w:space="0"/>
              <w:bottom w:val="single" w:color="auto" w:sz="4" w:space="0"/>
              <w:right w:val="single" w:color="auto" w:sz="4" w:space="0"/>
            </w:tcBorders>
            <w:noWrap w:val="0"/>
            <w:vAlign w:val="center"/>
          </w:tcPr>
          <w:p>
            <w:pPr>
              <w:widowControl/>
              <w:spacing w:line="270" w:lineRule="exact"/>
              <w:ind w:firstLine="420" w:firstLineChars="200"/>
              <w:rPr>
                <w:kern w:val="0"/>
                <w:sz w:val="21"/>
                <w:szCs w:val="21"/>
              </w:rPr>
            </w:pPr>
            <w:r>
              <w:rPr>
                <w:rFonts w:hint="eastAsia"/>
                <w:kern w:val="0"/>
                <w:sz w:val="21"/>
                <w:szCs w:val="21"/>
              </w:rPr>
              <w:t>（1）新增股基交易量，新增交易量第一名15</w:t>
            </w:r>
            <w:r>
              <w:rPr>
                <w:kern w:val="0"/>
                <w:sz w:val="21"/>
                <w:szCs w:val="21"/>
              </w:rPr>
              <w:t xml:space="preserve">分，依次递减 </w:t>
            </w:r>
            <w:r>
              <w:rPr>
                <w:rFonts w:hint="eastAsia"/>
                <w:kern w:val="0"/>
                <w:sz w:val="21"/>
                <w:szCs w:val="21"/>
              </w:rPr>
              <w:t>2</w:t>
            </w:r>
            <w:r>
              <w:rPr>
                <w:kern w:val="0"/>
                <w:sz w:val="21"/>
                <w:szCs w:val="21"/>
              </w:rPr>
              <w:t>分；</w:t>
            </w:r>
          </w:p>
          <w:p>
            <w:pPr>
              <w:widowControl/>
              <w:spacing w:line="270" w:lineRule="exact"/>
              <w:ind w:firstLine="420" w:firstLineChars="200"/>
              <w:rPr>
                <w:rFonts w:hint="eastAsia"/>
                <w:b w:val="0"/>
                <w:bCs w:val="0"/>
                <w:kern w:val="0"/>
                <w:sz w:val="21"/>
                <w:szCs w:val="21"/>
              </w:rPr>
            </w:pPr>
            <w:r>
              <w:rPr>
                <w:rFonts w:hint="eastAsia"/>
                <w:kern w:val="0"/>
                <w:sz w:val="21"/>
                <w:szCs w:val="21"/>
              </w:rPr>
              <w:t>（2）</w:t>
            </w:r>
            <w:r>
              <w:rPr>
                <w:kern w:val="0"/>
                <w:sz w:val="21"/>
                <w:szCs w:val="21"/>
              </w:rPr>
              <w:t>新增托管资产</w:t>
            </w:r>
            <w:r>
              <w:rPr>
                <w:rFonts w:hint="eastAsia"/>
                <w:kern w:val="0"/>
                <w:sz w:val="21"/>
                <w:szCs w:val="21"/>
              </w:rPr>
              <w:t>额</w:t>
            </w:r>
            <w:r>
              <w:rPr>
                <w:kern w:val="0"/>
                <w:sz w:val="21"/>
                <w:szCs w:val="21"/>
              </w:rPr>
              <w:t>，新增托管资产</w:t>
            </w:r>
            <w:r>
              <w:rPr>
                <w:rFonts w:hint="eastAsia"/>
                <w:kern w:val="0"/>
                <w:sz w:val="21"/>
                <w:szCs w:val="21"/>
              </w:rPr>
              <w:t>额</w:t>
            </w:r>
            <w:r>
              <w:rPr>
                <w:kern w:val="0"/>
                <w:sz w:val="21"/>
                <w:szCs w:val="21"/>
              </w:rPr>
              <w:t xml:space="preserve">第一名 </w:t>
            </w:r>
            <w:r>
              <w:rPr>
                <w:rFonts w:hint="eastAsia"/>
                <w:kern w:val="0"/>
                <w:sz w:val="21"/>
                <w:szCs w:val="21"/>
              </w:rPr>
              <w:t>15</w:t>
            </w:r>
            <w:r>
              <w:rPr>
                <w:kern w:val="0"/>
                <w:sz w:val="21"/>
                <w:szCs w:val="21"/>
              </w:rPr>
              <w:t>分，依次递减</w:t>
            </w:r>
            <w:r>
              <w:rPr>
                <w:rFonts w:hint="eastAsia"/>
                <w:kern w:val="0"/>
                <w:sz w:val="21"/>
                <w:szCs w:val="21"/>
              </w:rPr>
              <w:t>2</w:t>
            </w:r>
            <w:r>
              <w:rPr>
                <w:kern w:val="0"/>
                <w:sz w:val="21"/>
                <w:szCs w:val="21"/>
              </w:rPr>
              <w:t>分。</w:t>
            </w:r>
          </w:p>
        </w:tc>
      </w:tr>
      <w:tr>
        <w:tblPrEx>
          <w:tblCellMar>
            <w:top w:w="0" w:type="dxa"/>
            <w:left w:w="108" w:type="dxa"/>
            <w:bottom w:w="0" w:type="dxa"/>
            <w:right w:w="108" w:type="dxa"/>
          </w:tblCellMar>
        </w:tblPrEx>
        <w:trPr>
          <w:trHeight w:val="908"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b w:val="0"/>
                <w:bCs w:val="0"/>
                <w:kern w:val="0"/>
                <w:sz w:val="21"/>
                <w:szCs w:val="21"/>
              </w:rPr>
            </w:pPr>
            <w:r>
              <w:rPr>
                <w:rFonts w:hint="eastAsia"/>
                <w:kern w:val="0"/>
                <w:sz w:val="21"/>
                <w:szCs w:val="21"/>
              </w:rPr>
              <w:t>2</w:t>
            </w:r>
          </w:p>
        </w:tc>
        <w:tc>
          <w:tcPr>
            <w:tcW w:w="1134"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b w:val="0"/>
                <w:bCs w:val="0"/>
                <w:kern w:val="0"/>
                <w:sz w:val="21"/>
                <w:szCs w:val="21"/>
              </w:rPr>
            </w:pPr>
            <w:r>
              <w:rPr>
                <w:rFonts w:hint="eastAsia"/>
                <w:kern w:val="0"/>
                <w:sz w:val="21"/>
                <w:szCs w:val="21"/>
              </w:rPr>
              <w:t>投行业务</w:t>
            </w:r>
          </w:p>
        </w:tc>
        <w:tc>
          <w:tcPr>
            <w:tcW w:w="1559"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b w:val="0"/>
                <w:bCs w:val="0"/>
                <w:sz w:val="21"/>
                <w:szCs w:val="21"/>
              </w:rPr>
            </w:pPr>
            <w:r>
              <w:rPr>
                <w:rFonts w:hint="eastAsia"/>
                <w:sz w:val="21"/>
                <w:szCs w:val="21"/>
              </w:rPr>
              <w:t>融资金额</w:t>
            </w:r>
          </w:p>
        </w:tc>
        <w:tc>
          <w:tcPr>
            <w:tcW w:w="1134"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b w:val="0"/>
                <w:bCs w:val="0"/>
                <w:kern w:val="0"/>
                <w:sz w:val="21"/>
                <w:szCs w:val="21"/>
              </w:rPr>
            </w:pPr>
            <w:r>
              <w:rPr>
                <w:rFonts w:hint="eastAsia"/>
                <w:kern w:val="0"/>
                <w:sz w:val="21"/>
                <w:szCs w:val="21"/>
              </w:rPr>
              <w:t>20分</w:t>
            </w:r>
          </w:p>
        </w:tc>
        <w:tc>
          <w:tcPr>
            <w:tcW w:w="10348" w:type="dxa"/>
            <w:tcBorders>
              <w:top w:val="nil"/>
              <w:left w:val="single" w:color="auto" w:sz="4" w:space="0"/>
              <w:bottom w:val="single" w:color="auto" w:sz="4" w:space="0"/>
              <w:right w:val="single" w:color="auto" w:sz="4" w:space="0"/>
            </w:tcBorders>
            <w:noWrap w:val="0"/>
            <w:vAlign w:val="center"/>
          </w:tcPr>
          <w:p>
            <w:pPr>
              <w:widowControl/>
              <w:spacing w:line="270" w:lineRule="exact"/>
              <w:ind w:firstLine="420" w:firstLineChars="200"/>
              <w:rPr>
                <w:b w:val="0"/>
                <w:bCs w:val="0"/>
                <w:kern w:val="0"/>
                <w:sz w:val="21"/>
                <w:szCs w:val="21"/>
              </w:rPr>
            </w:pPr>
            <w:r>
              <w:rPr>
                <w:rFonts w:hint="eastAsia"/>
                <w:kern w:val="0"/>
                <w:sz w:val="21"/>
                <w:szCs w:val="21"/>
              </w:rPr>
              <w:t>（1）为鹿城区政府、国有平台项目提供融资支持的，有开展融资的得10分。融资金额达5亿元，再加5分；5亿元以上的，每增加5亿元加5分。累计得分最高不超过20分。</w:t>
            </w:r>
            <w:r>
              <w:rPr>
                <w:kern w:val="0"/>
                <w:sz w:val="21"/>
                <w:szCs w:val="21"/>
              </w:rPr>
              <w:br w:type="textWrapping"/>
            </w:r>
            <w:r>
              <w:rPr>
                <w:rFonts w:hint="eastAsia"/>
                <w:kern w:val="0"/>
                <w:sz w:val="21"/>
                <w:szCs w:val="21"/>
              </w:rPr>
              <w:t xml:space="preserve">    （2）为鹿城区私营企业提供融资支持的，有开展融资的得10分。融资金额达1亿元，再加5分；1亿元以上的，每增加1亿元加5分。累计得分最高不超过20分。</w:t>
            </w:r>
          </w:p>
        </w:tc>
      </w:tr>
      <w:tr>
        <w:tblPrEx>
          <w:tblCellMar>
            <w:top w:w="0" w:type="dxa"/>
            <w:left w:w="108" w:type="dxa"/>
            <w:bottom w:w="0" w:type="dxa"/>
            <w:right w:w="108" w:type="dxa"/>
          </w:tblCellMar>
        </w:tblPrEx>
        <w:trPr>
          <w:trHeight w:val="908"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rFonts w:hint="eastAsia"/>
                <w:b w:val="0"/>
                <w:bCs w:val="0"/>
                <w:kern w:val="0"/>
                <w:sz w:val="21"/>
                <w:szCs w:val="21"/>
              </w:rPr>
            </w:pPr>
            <w:r>
              <w:rPr>
                <w:rFonts w:hint="eastAsia"/>
                <w:kern w:val="0"/>
                <w:sz w:val="21"/>
                <w:szCs w:val="21"/>
              </w:rPr>
              <w:t>3</w:t>
            </w:r>
          </w:p>
        </w:tc>
        <w:tc>
          <w:tcPr>
            <w:tcW w:w="1134"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b w:val="0"/>
                <w:bCs w:val="0"/>
                <w:kern w:val="0"/>
                <w:sz w:val="21"/>
                <w:szCs w:val="21"/>
              </w:rPr>
            </w:pPr>
            <w:r>
              <w:rPr>
                <w:rFonts w:hint="eastAsia"/>
                <w:kern w:val="0"/>
                <w:sz w:val="21"/>
                <w:szCs w:val="21"/>
              </w:rPr>
              <w:t>挂牌上市</w:t>
            </w:r>
          </w:p>
        </w:tc>
        <w:tc>
          <w:tcPr>
            <w:tcW w:w="1559"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b w:val="0"/>
                <w:bCs w:val="0"/>
                <w:sz w:val="21"/>
                <w:szCs w:val="21"/>
              </w:rPr>
            </w:pPr>
            <w:r>
              <w:rPr>
                <w:rFonts w:hint="eastAsia"/>
                <w:sz w:val="21"/>
                <w:szCs w:val="21"/>
              </w:rPr>
              <w:t>推动区内企业挂牌上市工作</w:t>
            </w:r>
          </w:p>
        </w:tc>
        <w:tc>
          <w:tcPr>
            <w:tcW w:w="1134"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b w:val="0"/>
                <w:bCs w:val="0"/>
                <w:kern w:val="0"/>
                <w:sz w:val="21"/>
                <w:szCs w:val="21"/>
              </w:rPr>
            </w:pPr>
            <w:r>
              <w:rPr>
                <w:rFonts w:hint="eastAsia"/>
                <w:kern w:val="0"/>
                <w:sz w:val="21"/>
                <w:szCs w:val="21"/>
              </w:rPr>
              <w:t>20分</w:t>
            </w:r>
          </w:p>
        </w:tc>
        <w:tc>
          <w:tcPr>
            <w:tcW w:w="10348" w:type="dxa"/>
            <w:tcBorders>
              <w:top w:val="nil"/>
              <w:left w:val="single" w:color="auto" w:sz="4" w:space="0"/>
              <w:bottom w:val="single" w:color="auto" w:sz="4" w:space="0"/>
              <w:right w:val="single" w:color="auto" w:sz="4" w:space="0"/>
            </w:tcBorders>
            <w:noWrap w:val="0"/>
            <w:vAlign w:val="center"/>
          </w:tcPr>
          <w:p>
            <w:pPr>
              <w:widowControl/>
              <w:spacing w:line="270" w:lineRule="exact"/>
              <w:ind w:firstLine="420" w:firstLineChars="200"/>
              <w:rPr>
                <w:kern w:val="0"/>
                <w:sz w:val="21"/>
                <w:szCs w:val="21"/>
              </w:rPr>
            </w:pPr>
            <w:r>
              <w:rPr>
                <w:rFonts w:hint="eastAsia"/>
                <w:kern w:val="0"/>
                <w:sz w:val="21"/>
                <w:szCs w:val="21"/>
              </w:rPr>
              <w:t>（1）推动鹿城区企业挂牌工作，每推动1家鹿城区企业启动新三板挂牌工作的得5分；每推动1家鹿城区企业在浙江股权交易中心（交易板块或科创助力板）成功挂牌得10分；每推动1家鹿城区企业在新三板成功挂牌得15分。</w:t>
            </w:r>
          </w:p>
          <w:p>
            <w:pPr>
              <w:spacing w:line="270" w:lineRule="exact"/>
              <w:ind w:firstLine="420" w:firstLineChars="200"/>
              <w:rPr>
                <w:rFonts w:hint="eastAsia" w:eastAsia="仿宋_GB2312"/>
                <w:b w:val="0"/>
                <w:bCs w:val="0"/>
                <w:kern w:val="0"/>
                <w:sz w:val="21"/>
                <w:szCs w:val="21"/>
                <w:lang w:eastAsia="zh-CN"/>
              </w:rPr>
            </w:pPr>
            <w:r>
              <w:rPr>
                <w:rFonts w:hint="eastAsia"/>
                <w:kern w:val="0"/>
                <w:sz w:val="21"/>
                <w:szCs w:val="21"/>
              </w:rPr>
              <w:t>（2）推动鹿城区企业上市工作（含新三板精选层）。每推动1家企业上市签约得5分，推动1家企业完成上市股改得10分，推动1家企业申报上市辅导得10分，推动1家企业通过证监局辅导验收得10分，IPO申报材料获证监会或交易所受理得15分，IPO申报材料通过审核成功上市得20分。</w:t>
            </w:r>
          </w:p>
        </w:tc>
      </w:tr>
      <w:tr>
        <w:tblPrEx>
          <w:tblCellMar>
            <w:top w:w="0" w:type="dxa"/>
            <w:left w:w="108" w:type="dxa"/>
            <w:bottom w:w="0" w:type="dxa"/>
            <w:right w:w="108" w:type="dxa"/>
          </w:tblCellMar>
        </w:tblPrEx>
        <w:trPr>
          <w:trHeight w:val="616" w:hRule="atLeast"/>
          <w:jc w:val="center"/>
        </w:trPr>
        <w:tc>
          <w:tcPr>
            <w:tcW w:w="724" w:type="dxa"/>
            <w:vMerge w:val="restart"/>
            <w:tcBorders>
              <w:left w:val="single" w:color="auto" w:sz="4" w:space="0"/>
              <w:right w:val="single" w:color="auto" w:sz="4" w:space="0"/>
            </w:tcBorders>
            <w:noWrap w:val="0"/>
            <w:vAlign w:val="center"/>
          </w:tcPr>
          <w:p>
            <w:pPr>
              <w:spacing w:line="270" w:lineRule="exact"/>
              <w:jc w:val="center"/>
              <w:rPr>
                <w:b w:val="0"/>
                <w:bCs w:val="0"/>
                <w:kern w:val="0"/>
                <w:sz w:val="21"/>
                <w:szCs w:val="21"/>
              </w:rPr>
            </w:pPr>
            <w:r>
              <w:rPr>
                <w:rFonts w:hint="eastAsia"/>
                <w:kern w:val="0"/>
                <w:sz w:val="21"/>
                <w:szCs w:val="21"/>
              </w:rPr>
              <w:t>4</w:t>
            </w:r>
          </w:p>
        </w:tc>
        <w:tc>
          <w:tcPr>
            <w:tcW w:w="1134" w:type="dxa"/>
            <w:vMerge w:val="restart"/>
            <w:tcBorders>
              <w:left w:val="single" w:color="auto" w:sz="4" w:space="0"/>
              <w:right w:val="single" w:color="auto" w:sz="4" w:space="0"/>
            </w:tcBorders>
            <w:noWrap w:val="0"/>
            <w:vAlign w:val="center"/>
          </w:tcPr>
          <w:p>
            <w:pPr>
              <w:spacing w:line="270" w:lineRule="exact"/>
              <w:jc w:val="center"/>
              <w:rPr>
                <w:b w:val="0"/>
                <w:bCs w:val="0"/>
                <w:kern w:val="0"/>
                <w:sz w:val="21"/>
                <w:szCs w:val="21"/>
              </w:rPr>
            </w:pPr>
            <w:r>
              <w:rPr>
                <w:rFonts w:hint="eastAsia"/>
                <w:kern w:val="0"/>
                <w:sz w:val="21"/>
                <w:szCs w:val="21"/>
              </w:rPr>
              <w:t>工作衔接</w:t>
            </w:r>
          </w:p>
        </w:tc>
        <w:tc>
          <w:tcPr>
            <w:tcW w:w="1559" w:type="dxa"/>
            <w:tcBorders>
              <w:left w:val="nil"/>
              <w:bottom w:val="single" w:color="auto" w:sz="4" w:space="0"/>
              <w:right w:val="single" w:color="auto" w:sz="4" w:space="0"/>
            </w:tcBorders>
            <w:noWrap w:val="0"/>
            <w:vAlign w:val="center"/>
          </w:tcPr>
          <w:p>
            <w:pPr>
              <w:widowControl/>
              <w:spacing w:line="270" w:lineRule="exact"/>
              <w:jc w:val="center"/>
              <w:rPr>
                <w:b w:val="0"/>
                <w:bCs w:val="0"/>
                <w:sz w:val="21"/>
                <w:szCs w:val="21"/>
              </w:rPr>
            </w:pPr>
            <w:r>
              <w:rPr>
                <w:rFonts w:hint="eastAsia"/>
                <w:kern w:val="0"/>
                <w:sz w:val="21"/>
                <w:szCs w:val="21"/>
              </w:rPr>
              <w:t>投资者宣传教育</w:t>
            </w:r>
          </w:p>
        </w:tc>
        <w:tc>
          <w:tcPr>
            <w:tcW w:w="1134" w:type="dxa"/>
            <w:vMerge w:val="restart"/>
            <w:tcBorders>
              <w:left w:val="single" w:color="auto" w:sz="4" w:space="0"/>
              <w:right w:val="single" w:color="auto" w:sz="4" w:space="0"/>
            </w:tcBorders>
            <w:noWrap w:val="0"/>
            <w:vAlign w:val="center"/>
          </w:tcPr>
          <w:p>
            <w:pPr>
              <w:spacing w:line="270" w:lineRule="exact"/>
              <w:jc w:val="center"/>
              <w:rPr>
                <w:b w:val="0"/>
                <w:bCs w:val="0"/>
                <w:kern w:val="0"/>
                <w:sz w:val="21"/>
                <w:szCs w:val="21"/>
              </w:rPr>
            </w:pPr>
            <w:r>
              <w:rPr>
                <w:rFonts w:hint="eastAsia"/>
                <w:kern w:val="0"/>
                <w:sz w:val="21"/>
                <w:szCs w:val="21"/>
              </w:rPr>
              <w:t>20</w:t>
            </w:r>
          </w:p>
        </w:tc>
        <w:tc>
          <w:tcPr>
            <w:tcW w:w="10348" w:type="dxa"/>
            <w:tcBorders>
              <w:top w:val="single" w:color="auto" w:sz="4" w:space="0"/>
              <w:left w:val="nil"/>
              <w:bottom w:val="single" w:color="auto" w:sz="4" w:space="0"/>
              <w:right w:val="single" w:color="auto" w:sz="4" w:space="0"/>
            </w:tcBorders>
            <w:noWrap w:val="0"/>
            <w:vAlign w:val="center"/>
          </w:tcPr>
          <w:p>
            <w:pPr>
              <w:widowControl/>
              <w:spacing w:line="270" w:lineRule="exact"/>
              <w:ind w:firstLine="420" w:firstLineChars="200"/>
              <w:rPr>
                <w:rFonts w:hint="eastAsia"/>
                <w:b w:val="0"/>
                <w:bCs w:val="0"/>
                <w:kern w:val="0"/>
                <w:sz w:val="21"/>
                <w:szCs w:val="21"/>
              </w:rPr>
            </w:pPr>
            <w:r>
              <w:rPr>
                <w:rFonts w:hint="eastAsia"/>
                <w:kern w:val="0"/>
                <w:sz w:val="21"/>
                <w:szCs w:val="21"/>
              </w:rPr>
              <w:t>积极开展投资者宣传教育工作，每举办1次投资者宣传教育活动得1分，最高得分不超过10分。对在鹿城区建设证券期货投资者教育基地的证券机构给予适当加分，最高加分不超过20分。</w:t>
            </w:r>
          </w:p>
        </w:tc>
      </w:tr>
      <w:tr>
        <w:tblPrEx>
          <w:tblCellMar>
            <w:top w:w="0" w:type="dxa"/>
            <w:left w:w="108" w:type="dxa"/>
            <w:bottom w:w="0" w:type="dxa"/>
            <w:right w:w="108" w:type="dxa"/>
          </w:tblCellMar>
        </w:tblPrEx>
        <w:trPr>
          <w:trHeight w:val="459" w:hRule="atLeast"/>
          <w:jc w:val="center"/>
        </w:trPr>
        <w:tc>
          <w:tcPr>
            <w:tcW w:w="724" w:type="dxa"/>
            <w:vMerge w:val="continue"/>
            <w:tcBorders>
              <w:left w:val="single" w:color="auto" w:sz="4" w:space="0"/>
              <w:right w:val="single" w:color="auto" w:sz="4" w:space="0"/>
            </w:tcBorders>
            <w:noWrap w:val="0"/>
            <w:vAlign w:val="center"/>
          </w:tcPr>
          <w:p>
            <w:pPr>
              <w:spacing w:line="270" w:lineRule="exact"/>
              <w:jc w:val="center"/>
              <w:rPr>
                <w:b w:val="0"/>
                <w:bCs w:val="0"/>
                <w:kern w:val="0"/>
                <w:sz w:val="21"/>
                <w:szCs w:val="21"/>
              </w:rPr>
            </w:pPr>
          </w:p>
        </w:tc>
        <w:tc>
          <w:tcPr>
            <w:tcW w:w="1134" w:type="dxa"/>
            <w:vMerge w:val="continue"/>
            <w:tcBorders>
              <w:left w:val="single" w:color="auto" w:sz="4" w:space="0"/>
              <w:right w:val="single" w:color="auto" w:sz="4" w:space="0"/>
            </w:tcBorders>
            <w:noWrap w:val="0"/>
            <w:vAlign w:val="center"/>
          </w:tcPr>
          <w:p>
            <w:pPr>
              <w:spacing w:line="270" w:lineRule="exact"/>
              <w:jc w:val="center"/>
              <w:rPr>
                <w:b w:val="0"/>
                <w:bCs w:val="0"/>
                <w:kern w:val="0"/>
                <w:sz w:val="21"/>
                <w:szCs w:val="21"/>
              </w:rPr>
            </w:pPr>
          </w:p>
        </w:tc>
        <w:tc>
          <w:tcPr>
            <w:tcW w:w="1559" w:type="dxa"/>
            <w:tcBorders>
              <w:left w:val="nil"/>
              <w:bottom w:val="single" w:color="auto" w:sz="4" w:space="0"/>
              <w:right w:val="single" w:color="auto" w:sz="4" w:space="0"/>
            </w:tcBorders>
            <w:noWrap w:val="0"/>
            <w:vAlign w:val="center"/>
          </w:tcPr>
          <w:p>
            <w:pPr>
              <w:widowControl/>
              <w:spacing w:line="270" w:lineRule="exact"/>
              <w:jc w:val="center"/>
              <w:rPr>
                <w:rFonts w:hint="eastAsia"/>
                <w:b w:val="0"/>
                <w:bCs w:val="0"/>
                <w:kern w:val="0"/>
                <w:sz w:val="21"/>
                <w:szCs w:val="21"/>
              </w:rPr>
            </w:pPr>
            <w:r>
              <w:rPr>
                <w:rFonts w:hint="eastAsia"/>
                <w:kern w:val="0"/>
                <w:sz w:val="21"/>
                <w:szCs w:val="21"/>
              </w:rPr>
              <w:t>上报金融信息</w:t>
            </w:r>
          </w:p>
        </w:tc>
        <w:tc>
          <w:tcPr>
            <w:tcW w:w="1134" w:type="dxa"/>
            <w:vMerge w:val="continue"/>
            <w:tcBorders>
              <w:left w:val="single" w:color="auto" w:sz="4" w:space="0"/>
              <w:right w:val="single" w:color="auto" w:sz="4" w:space="0"/>
            </w:tcBorders>
            <w:noWrap w:val="0"/>
            <w:vAlign w:val="center"/>
          </w:tcPr>
          <w:p>
            <w:pPr>
              <w:spacing w:line="270" w:lineRule="exact"/>
              <w:jc w:val="center"/>
              <w:rPr>
                <w:b w:val="0"/>
                <w:bCs w:val="0"/>
                <w:kern w:val="0"/>
                <w:sz w:val="21"/>
                <w:szCs w:val="21"/>
              </w:rPr>
            </w:pPr>
          </w:p>
        </w:tc>
        <w:tc>
          <w:tcPr>
            <w:tcW w:w="10348" w:type="dxa"/>
            <w:tcBorders>
              <w:top w:val="single" w:color="auto" w:sz="4" w:space="0"/>
              <w:left w:val="nil"/>
              <w:bottom w:val="single" w:color="auto" w:sz="4" w:space="0"/>
              <w:right w:val="single" w:color="auto" w:sz="4" w:space="0"/>
            </w:tcBorders>
            <w:noWrap w:val="0"/>
            <w:vAlign w:val="center"/>
          </w:tcPr>
          <w:p>
            <w:pPr>
              <w:widowControl/>
              <w:spacing w:line="270" w:lineRule="exact"/>
              <w:ind w:firstLine="420" w:firstLineChars="200"/>
              <w:rPr>
                <w:rFonts w:hint="eastAsia"/>
                <w:b w:val="0"/>
                <w:bCs w:val="0"/>
                <w:kern w:val="0"/>
                <w:sz w:val="21"/>
                <w:szCs w:val="21"/>
              </w:rPr>
            </w:pPr>
            <w:r>
              <w:rPr>
                <w:rFonts w:hint="eastAsia"/>
                <w:kern w:val="0"/>
                <w:sz w:val="21"/>
                <w:szCs w:val="21"/>
              </w:rPr>
              <w:t>每报送1篇金融信息得0.5，最高得分不超过5分。</w:t>
            </w:r>
          </w:p>
        </w:tc>
      </w:tr>
      <w:tr>
        <w:tblPrEx>
          <w:tblCellMar>
            <w:top w:w="0" w:type="dxa"/>
            <w:left w:w="108" w:type="dxa"/>
            <w:bottom w:w="0" w:type="dxa"/>
            <w:right w:w="108" w:type="dxa"/>
          </w:tblCellMar>
        </w:tblPrEx>
        <w:trPr>
          <w:trHeight w:val="607" w:hRule="atLeast"/>
          <w:jc w:val="center"/>
        </w:trPr>
        <w:tc>
          <w:tcPr>
            <w:tcW w:w="724" w:type="dxa"/>
            <w:vMerge w:val="continue"/>
            <w:tcBorders>
              <w:left w:val="single" w:color="auto" w:sz="4" w:space="0"/>
              <w:bottom w:val="single" w:color="auto" w:sz="4" w:space="0"/>
              <w:right w:val="single" w:color="auto" w:sz="4" w:space="0"/>
            </w:tcBorders>
            <w:noWrap w:val="0"/>
            <w:vAlign w:val="center"/>
          </w:tcPr>
          <w:p>
            <w:pPr>
              <w:spacing w:line="270" w:lineRule="exact"/>
              <w:jc w:val="center"/>
              <w:rPr>
                <w:b w:val="0"/>
                <w:bCs w:val="0"/>
                <w:kern w:val="0"/>
                <w:sz w:val="21"/>
                <w:szCs w:val="21"/>
              </w:rPr>
            </w:pPr>
          </w:p>
        </w:tc>
        <w:tc>
          <w:tcPr>
            <w:tcW w:w="1134" w:type="dxa"/>
            <w:vMerge w:val="continue"/>
            <w:tcBorders>
              <w:left w:val="single" w:color="auto" w:sz="4" w:space="0"/>
              <w:bottom w:val="single" w:color="auto" w:sz="4" w:space="0"/>
              <w:right w:val="single" w:color="auto" w:sz="4" w:space="0"/>
            </w:tcBorders>
            <w:noWrap w:val="0"/>
            <w:vAlign w:val="center"/>
          </w:tcPr>
          <w:p>
            <w:pPr>
              <w:spacing w:line="270" w:lineRule="exact"/>
              <w:jc w:val="center"/>
              <w:rPr>
                <w:b w:val="0"/>
                <w:bCs w:val="0"/>
                <w:kern w:val="0"/>
                <w:sz w:val="21"/>
                <w:szCs w:val="21"/>
              </w:rPr>
            </w:pPr>
          </w:p>
        </w:tc>
        <w:tc>
          <w:tcPr>
            <w:tcW w:w="1559" w:type="dxa"/>
            <w:tcBorders>
              <w:left w:val="nil"/>
              <w:bottom w:val="single" w:color="auto" w:sz="4" w:space="0"/>
              <w:right w:val="single" w:color="auto" w:sz="4" w:space="0"/>
            </w:tcBorders>
            <w:noWrap w:val="0"/>
            <w:vAlign w:val="center"/>
          </w:tcPr>
          <w:p>
            <w:pPr>
              <w:widowControl/>
              <w:spacing w:line="270" w:lineRule="exact"/>
              <w:jc w:val="center"/>
              <w:rPr>
                <w:rFonts w:hint="eastAsia"/>
                <w:b w:val="0"/>
                <w:bCs w:val="0"/>
                <w:kern w:val="0"/>
                <w:sz w:val="21"/>
                <w:szCs w:val="21"/>
              </w:rPr>
            </w:pPr>
            <w:r>
              <w:rPr>
                <w:kern w:val="0"/>
                <w:sz w:val="21"/>
                <w:szCs w:val="21"/>
              </w:rPr>
              <w:t>参与党建工作</w:t>
            </w:r>
          </w:p>
        </w:tc>
        <w:tc>
          <w:tcPr>
            <w:tcW w:w="1134" w:type="dxa"/>
            <w:vMerge w:val="continue"/>
            <w:tcBorders>
              <w:left w:val="single" w:color="auto" w:sz="4" w:space="0"/>
              <w:bottom w:val="single" w:color="auto" w:sz="4" w:space="0"/>
              <w:right w:val="single" w:color="auto" w:sz="4" w:space="0"/>
            </w:tcBorders>
            <w:noWrap w:val="0"/>
            <w:vAlign w:val="center"/>
          </w:tcPr>
          <w:p>
            <w:pPr>
              <w:spacing w:line="270" w:lineRule="exact"/>
              <w:jc w:val="center"/>
              <w:rPr>
                <w:b w:val="0"/>
                <w:bCs w:val="0"/>
                <w:kern w:val="0"/>
                <w:sz w:val="21"/>
                <w:szCs w:val="21"/>
              </w:rPr>
            </w:pPr>
          </w:p>
        </w:tc>
        <w:tc>
          <w:tcPr>
            <w:tcW w:w="10348" w:type="dxa"/>
            <w:tcBorders>
              <w:top w:val="single" w:color="auto" w:sz="4" w:space="0"/>
              <w:left w:val="nil"/>
              <w:bottom w:val="single" w:color="auto" w:sz="4" w:space="0"/>
              <w:right w:val="single" w:color="auto" w:sz="4" w:space="0"/>
            </w:tcBorders>
            <w:noWrap w:val="0"/>
            <w:vAlign w:val="center"/>
          </w:tcPr>
          <w:p>
            <w:pPr>
              <w:widowControl/>
              <w:spacing w:line="270" w:lineRule="exact"/>
              <w:ind w:firstLine="420" w:firstLineChars="200"/>
              <w:rPr>
                <w:rFonts w:hint="eastAsia"/>
                <w:b w:val="0"/>
                <w:bCs w:val="0"/>
                <w:kern w:val="0"/>
                <w:sz w:val="21"/>
                <w:szCs w:val="21"/>
              </w:rPr>
            </w:pPr>
            <w:r>
              <w:rPr>
                <w:kern w:val="0"/>
                <w:sz w:val="21"/>
                <w:szCs w:val="21"/>
              </w:rPr>
              <w:t>积极参与鹿城区金融领域党建工作，对开展结对共建、志愿服务、慰问扶贫等工作的证券机构适当赋分，最高得分不超过</w:t>
            </w:r>
            <w:r>
              <w:rPr>
                <w:rFonts w:hint="eastAsia"/>
                <w:kern w:val="0"/>
                <w:sz w:val="21"/>
                <w:szCs w:val="21"/>
              </w:rPr>
              <w:t>5分。</w:t>
            </w:r>
          </w:p>
        </w:tc>
      </w:tr>
      <w:tr>
        <w:tblPrEx>
          <w:tblCellMar>
            <w:top w:w="0" w:type="dxa"/>
            <w:left w:w="108" w:type="dxa"/>
            <w:bottom w:w="0" w:type="dxa"/>
            <w:right w:w="108" w:type="dxa"/>
          </w:tblCellMar>
        </w:tblPrEx>
        <w:trPr>
          <w:trHeight w:val="705"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b w:val="0"/>
                <w:bCs w:val="0"/>
                <w:kern w:val="0"/>
                <w:sz w:val="21"/>
                <w:szCs w:val="21"/>
              </w:rPr>
            </w:pPr>
            <w:r>
              <w:rPr>
                <w:rFonts w:hint="eastAsia"/>
                <w:kern w:val="0"/>
                <w:sz w:val="21"/>
                <w:szCs w:val="21"/>
              </w:rPr>
              <w:t>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b w:val="0"/>
                <w:bCs w:val="0"/>
                <w:kern w:val="0"/>
                <w:sz w:val="21"/>
                <w:szCs w:val="21"/>
              </w:rPr>
            </w:pPr>
            <w:r>
              <w:rPr>
                <w:rFonts w:hint="eastAsia"/>
                <w:kern w:val="0"/>
                <w:sz w:val="21"/>
                <w:szCs w:val="21"/>
              </w:rPr>
              <w:t>合规经营</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70" w:lineRule="exact"/>
              <w:jc w:val="center"/>
              <w:rPr>
                <w:b w:val="0"/>
                <w:bCs w:val="0"/>
                <w:sz w:val="21"/>
                <w:szCs w:val="21"/>
              </w:rPr>
            </w:pPr>
            <w:r>
              <w:rPr>
                <w:rFonts w:hint="eastAsia"/>
                <w:kern w:val="0"/>
                <w:sz w:val="21"/>
                <w:szCs w:val="21"/>
              </w:rPr>
              <w:t>监管部门处罚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b w:val="0"/>
                <w:bCs w:val="0"/>
                <w:kern w:val="0"/>
                <w:sz w:val="21"/>
                <w:szCs w:val="21"/>
              </w:rPr>
            </w:pPr>
            <w:r>
              <w:rPr>
                <w:rFonts w:hint="eastAsia"/>
                <w:kern w:val="0"/>
                <w:sz w:val="21"/>
                <w:szCs w:val="21"/>
              </w:rPr>
              <w:t>10</w:t>
            </w:r>
            <w:r>
              <w:rPr>
                <w:kern w:val="0"/>
                <w:sz w:val="21"/>
                <w:szCs w:val="21"/>
              </w:rPr>
              <w:t xml:space="preserve"> </w:t>
            </w:r>
          </w:p>
        </w:tc>
        <w:tc>
          <w:tcPr>
            <w:tcW w:w="10348" w:type="dxa"/>
            <w:tcBorders>
              <w:top w:val="single" w:color="auto" w:sz="4" w:space="0"/>
              <w:left w:val="single" w:color="auto" w:sz="4" w:space="0"/>
              <w:bottom w:val="single" w:color="auto" w:sz="4" w:space="0"/>
              <w:right w:val="single" w:color="auto" w:sz="4" w:space="0"/>
            </w:tcBorders>
            <w:noWrap w:val="0"/>
            <w:vAlign w:val="center"/>
          </w:tcPr>
          <w:p>
            <w:pPr>
              <w:widowControl/>
              <w:spacing w:line="270" w:lineRule="exact"/>
              <w:ind w:firstLine="420" w:firstLineChars="200"/>
              <w:rPr>
                <w:b w:val="0"/>
                <w:bCs w:val="0"/>
                <w:kern w:val="0"/>
                <w:sz w:val="21"/>
                <w:szCs w:val="21"/>
              </w:rPr>
            </w:pPr>
            <w:r>
              <w:rPr>
                <w:rFonts w:hint="eastAsia"/>
                <w:kern w:val="0"/>
                <w:sz w:val="21"/>
                <w:szCs w:val="21"/>
              </w:rPr>
              <w:t>当年度未被监管部门处罚的得10分。收到监管函或监管谈话通知书，每发生一例扣2分；被行政处罚的，每发生一例扣4分。</w:t>
            </w:r>
          </w:p>
        </w:tc>
      </w:tr>
    </w:tbl>
    <w:p>
      <w:pPr>
        <w:spacing w:line="580" w:lineRule="exact"/>
        <w:rPr>
          <w:rFonts w:ascii="黑体" w:eastAsia="黑体"/>
          <w:color w:val="auto"/>
        </w:rPr>
      </w:pPr>
      <w:r>
        <w:rPr>
          <w:rFonts w:hint="eastAsia" w:ascii="黑体" w:eastAsia="黑体"/>
          <w:color w:val="auto"/>
        </w:rPr>
        <w:t>附件4</w:t>
      </w:r>
    </w:p>
    <w:p>
      <w:pPr>
        <w:adjustRightInd w:val="0"/>
        <w:snapToGrid w:val="0"/>
        <w:spacing w:line="580" w:lineRule="exact"/>
        <w:jc w:val="center"/>
        <w:rPr>
          <w:rFonts w:ascii="小标宋" w:eastAsia="小标宋"/>
          <w:color w:val="auto"/>
          <w:sz w:val="44"/>
          <w:szCs w:val="44"/>
          <w:highlight w:val="none"/>
        </w:rPr>
      </w:pPr>
      <w:r>
        <w:rPr>
          <w:rFonts w:hint="eastAsia" w:ascii="小标宋" w:eastAsia="小标宋"/>
          <w:color w:val="auto"/>
          <w:sz w:val="44"/>
          <w:szCs w:val="44"/>
          <w:highlight w:val="none"/>
        </w:rPr>
        <w:t>财务公司支持鹿城区经济发展业绩考评表</w:t>
      </w:r>
    </w:p>
    <w:p>
      <w:pPr>
        <w:adjustRightInd w:val="0"/>
        <w:snapToGrid w:val="0"/>
        <w:spacing w:line="580" w:lineRule="exact"/>
        <w:jc w:val="center"/>
        <w:rPr>
          <w:rFonts w:ascii="小标宋" w:eastAsia="小标宋"/>
          <w:color w:val="auto"/>
          <w:sz w:val="44"/>
          <w:szCs w:val="44"/>
          <w:highlight w:val="none"/>
        </w:rPr>
      </w:pPr>
    </w:p>
    <w:tbl>
      <w:tblPr>
        <w:tblStyle w:val="5"/>
        <w:tblW w:w="14899" w:type="dxa"/>
        <w:jc w:val="center"/>
        <w:tblLayout w:type="fixed"/>
        <w:tblCellMar>
          <w:top w:w="0" w:type="dxa"/>
          <w:left w:w="108" w:type="dxa"/>
          <w:bottom w:w="0" w:type="dxa"/>
          <w:right w:w="108" w:type="dxa"/>
        </w:tblCellMar>
      </w:tblPr>
      <w:tblGrid>
        <w:gridCol w:w="724"/>
        <w:gridCol w:w="1134"/>
        <w:gridCol w:w="1559"/>
        <w:gridCol w:w="1134"/>
        <w:gridCol w:w="10348"/>
      </w:tblGrid>
      <w:tr>
        <w:tblPrEx>
          <w:tblCellMar>
            <w:top w:w="0" w:type="dxa"/>
            <w:left w:w="108" w:type="dxa"/>
            <w:bottom w:w="0" w:type="dxa"/>
            <w:right w:w="108" w:type="dxa"/>
          </w:tblCellMar>
        </w:tblPrEx>
        <w:trPr>
          <w:trHeight w:val="450" w:hRule="exac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eastAsia="黑体"/>
                <w:kern w:val="0"/>
                <w:sz w:val="24"/>
                <w:szCs w:val="24"/>
              </w:rPr>
            </w:pPr>
            <w:r>
              <w:rPr>
                <w:rFonts w:hint="eastAsia" w:ascii="黑体" w:eastAsia="黑体"/>
                <w:kern w:val="0"/>
                <w:sz w:val="24"/>
                <w:szCs w:val="24"/>
              </w:rPr>
              <w:t>序号</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eastAsia="黑体"/>
                <w:kern w:val="0"/>
                <w:sz w:val="24"/>
                <w:szCs w:val="24"/>
              </w:rPr>
            </w:pPr>
            <w:r>
              <w:rPr>
                <w:rFonts w:hint="eastAsia" w:ascii="黑体" w:eastAsia="黑体"/>
                <w:kern w:val="0"/>
                <w:sz w:val="24"/>
                <w:szCs w:val="24"/>
              </w:rPr>
              <w:t>项目</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eastAsia="黑体"/>
                <w:kern w:val="0"/>
                <w:sz w:val="24"/>
                <w:szCs w:val="24"/>
              </w:rPr>
            </w:pPr>
            <w:r>
              <w:rPr>
                <w:rFonts w:hint="eastAsia" w:ascii="黑体" w:eastAsia="黑体"/>
                <w:kern w:val="0"/>
                <w:sz w:val="24"/>
                <w:szCs w:val="24"/>
              </w:rPr>
              <w:t>具体内容</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eastAsia="黑体"/>
                <w:kern w:val="0"/>
                <w:sz w:val="24"/>
                <w:szCs w:val="24"/>
              </w:rPr>
            </w:pPr>
            <w:r>
              <w:rPr>
                <w:rFonts w:hint="eastAsia" w:ascii="黑体" w:eastAsia="黑体"/>
                <w:kern w:val="0"/>
                <w:sz w:val="24"/>
                <w:szCs w:val="24"/>
              </w:rPr>
              <w:t>标准分</w:t>
            </w:r>
          </w:p>
        </w:tc>
        <w:tc>
          <w:tcPr>
            <w:tcW w:w="103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eastAsia="黑体"/>
                <w:kern w:val="0"/>
                <w:sz w:val="24"/>
                <w:szCs w:val="24"/>
              </w:rPr>
            </w:pPr>
            <w:r>
              <w:rPr>
                <w:rFonts w:hint="eastAsia" w:ascii="黑体" w:eastAsia="黑体"/>
                <w:kern w:val="0"/>
                <w:sz w:val="24"/>
                <w:szCs w:val="24"/>
              </w:rPr>
              <w:t>评分标准</w:t>
            </w:r>
          </w:p>
        </w:tc>
      </w:tr>
      <w:tr>
        <w:tblPrEx>
          <w:tblCellMar>
            <w:top w:w="0" w:type="dxa"/>
            <w:left w:w="108" w:type="dxa"/>
            <w:bottom w:w="0" w:type="dxa"/>
            <w:right w:w="108" w:type="dxa"/>
          </w:tblCellMar>
        </w:tblPrEx>
        <w:trPr>
          <w:trHeight w:val="905" w:hRule="atLeast"/>
          <w:jc w:val="center"/>
        </w:trPr>
        <w:tc>
          <w:tcPr>
            <w:tcW w:w="724"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1</w:t>
            </w:r>
          </w:p>
        </w:tc>
        <w:tc>
          <w:tcPr>
            <w:tcW w:w="1134"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业务开展</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年度营业收入</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30分</w:t>
            </w:r>
          </w:p>
        </w:tc>
        <w:tc>
          <w:tcPr>
            <w:tcW w:w="103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sz w:val="21"/>
                <w:szCs w:val="21"/>
              </w:rPr>
            </w:pPr>
            <w:r>
              <w:rPr>
                <w:rFonts w:hint="eastAsia"/>
                <w:b w:val="0"/>
                <w:bCs/>
                <w:sz w:val="21"/>
                <w:szCs w:val="21"/>
              </w:rPr>
              <w:t>标准分30分。年度营业收入7000万元以上得30分，年度营业收入6000万元以上得20分，年度营业收入5000万元以上得10分，年度营业收入5000万元以下不得分。</w:t>
            </w:r>
          </w:p>
        </w:tc>
      </w:tr>
      <w:tr>
        <w:tblPrEx>
          <w:tblCellMar>
            <w:top w:w="0" w:type="dxa"/>
            <w:left w:w="108" w:type="dxa"/>
            <w:bottom w:w="0" w:type="dxa"/>
            <w:right w:w="108" w:type="dxa"/>
          </w:tblCellMar>
        </w:tblPrEx>
        <w:trPr>
          <w:trHeight w:val="985" w:hRule="atLeast"/>
          <w:jc w:val="center"/>
        </w:trPr>
        <w:tc>
          <w:tcPr>
            <w:tcW w:w="72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p>
        </w:tc>
        <w:tc>
          <w:tcPr>
            <w:tcW w:w="113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年度地方综合贡献度</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lang w:val="en-US" w:eastAsia="zh-CN"/>
              </w:rPr>
              <w:t>5</w:t>
            </w:r>
            <w:r>
              <w:rPr>
                <w:rFonts w:hint="eastAsia"/>
                <w:b w:val="0"/>
                <w:bCs/>
                <w:sz w:val="21"/>
                <w:szCs w:val="21"/>
              </w:rPr>
              <w:t>0分</w:t>
            </w:r>
          </w:p>
        </w:tc>
        <w:tc>
          <w:tcPr>
            <w:tcW w:w="103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sz w:val="21"/>
                <w:szCs w:val="21"/>
              </w:rPr>
            </w:pPr>
            <w:r>
              <w:rPr>
                <w:rFonts w:hint="eastAsia"/>
                <w:b w:val="0"/>
                <w:bCs/>
                <w:sz w:val="21"/>
                <w:szCs w:val="21"/>
              </w:rPr>
              <w:t>标准分50分。区级年度地方综合贡献</w:t>
            </w:r>
            <w:r>
              <w:rPr>
                <w:rFonts w:hint="eastAsia"/>
                <w:b w:val="0"/>
                <w:bCs/>
                <w:sz w:val="21"/>
                <w:szCs w:val="21"/>
                <w:lang w:val="en-US" w:eastAsia="zh-CN"/>
              </w:rPr>
              <w:t>5</w:t>
            </w:r>
            <w:r>
              <w:rPr>
                <w:rFonts w:hint="eastAsia"/>
                <w:b w:val="0"/>
                <w:bCs/>
                <w:sz w:val="21"/>
                <w:szCs w:val="21"/>
              </w:rPr>
              <w:t>00万元以上得50分，区级年度地方综合贡献</w:t>
            </w:r>
            <w:r>
              <w:rPr>
                <w:rFonts w:hint="eastAsia"/>
                <w:b w:val="0"/>
                <w:bCs/>
                <w:sz w:val="21"/>
                <w:szCs w:val="21"/>
                <w:lang w:val="en-US" w:eastAsia="zh-CN"/>
              </w:rPr>
              <w:t>4</w:t>
            </w:r>
            <w:r>
              <w:rPr>
                <w:rFonts w:hint="eastAsia"/>
                <w:b w:val="0"/>
                <w:bCs/>
                <w:sz w:val="21"/>
                <w:szCs w:val="21"/>
              </w:rPr>
              <w:t>00万元以上得40分，区级年度地方综合贡献</w:t>
            </w:r>
            <w:r>
              <w:rPr>
                <w:rFonts w:hint="eastAsia"/>
                <w:b w:val="0"/>
                <w:bCs/>
                <w:sz w:val="21"/>
                <w:szCs w:val="21"/>
                <w:lang w:val="en-US" w:eastAsia="zh-CN"/>
              </w:rPr>
              <w:t>3</w:t>
            </w:r>
            <w:r>
              <w:rPr>
                <w:rFonts w:hint="eastAsia"/>
                <w:b w:val="0"/>
                <w:bCs/>
                <w:sz w:val="21"/>
                <w:szCs w:val="21"/>
              </w:rPr>
              <w:t>00万元以上得30分，区级年度地方综合贡献</w:t>
            </w:r>
            <w:r>
              <w:rPr>
                <w:rFonts w:hint="eastAsia"/>
                <w:b w:val="0"/>
                <w:bCs/>
                <w:sz w:val="21"/>
                <w:szCs w:val="21"/>
                <w:lang w:val="en-US" w:eastAsia="zh-CN"/>
              </w:rPr>
              <w:t>2</w:t>
            </w:r>
            <w:r>
              <w:rPr>
                <w:rFonts w:hint="eastAsia"/>
                <w:b w:val="0"/>
                <w:bCs/>
                <w:sz w:val="21"/>
                <w:szCs w:val="21"/>
              </w:rPr>
              <w:t>00万元以下不得分。</w:t>
            </w:r>
          </w:p>
        </w:tc>
      </w:tr>
      <w:tr>
        <w:tblPrEx>
          <w:tblCellMar>
            <w:top w:w="0" w:type="dxa"/>
            <w:left w:w="108" w:type="dxa"/>
            <w:bottom w:w="0" w:type="dxa"/>
            <w:right w:w="108" w:type="dxa"/>
          </w:tblCellMar>
        </w:tblPrEx>
        <w:trPr>
          <w:trHeight w:val="970" w:hRule="atLeast"/>
          <w:jc w:val="center"/>
        </w:trPr>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2</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工作衔接</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上报金融数据</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10分</w:t>
            </w:r>
          </w:p>
        </w:tc>
        <w:tc>
          <w:tcPr>
            <w:tcW w:w="103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sz w:val="21"/>
                <w:szCs w:val="21"/>
              </w:rPr>
            </w:pPr>
            <w:r>
              <w:rPr>
                <w:rFonts w:hint="eastAsia"/>
                <w:b w:val="0"/>
                <w:bCs/>
                <w:sz w:val="21"/>
                <w:szCs w:val="21"/>
              </w:rPr>
              <w:t>标准分5分。及时、准确、全面报送数据、报表等资料的，得5分，一次不上报的扣1分，迟报一次扣0.5分，扣完为止。</w:t>
            </w:r>
          </w:p>
        </w:tc>
      </w:tr>
      <w:tr>
        <w:tblPrEx>
          <w:tblCellMar>
            <w:top w:w="0" w:type="dxa"/>
            <w:left w:w="108" w:type="dxa"/>
            <w:bottom w:w="0" w:type="dxa"/>
            <w:right w:w="108" w:type="dxa"/>
          </w:tblCellMar>
        </w:tblPrEx>
        <w:trPr>
          <w:trHeight w:val="1097" w:hRule="exact"/>
          <w:jc w:val="center"/>
        </w:trPr>
        <w:tc>
          <w:tcPr>
            <w:tcW w:w="72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p>
        </w:tc>
        <w:tc>
          <w:tcPr>
            <w:tcW w:w="113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参加区相关会议情况</w:t>
            </w:r>
          </w:p>
        </w:tc>
        <w:tc>
          <w:tcPr>
            <w:tcW w:w="113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p>
        </w:tc>
        <w:tc>
          <w:tcPr>
            <w:tcW w:w="103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sz w:val="21"/>
                <w:szCs w:val="21"/>
              </w:rPr>
            </w:pPr>
            <w:r>
              <w:rPr>
                <w:rFonts w:hint="eastAsia"/>
                <w:b w:val="0"/>
                <w:bCs/>
                <w:sz w:val="21"/>
                <w:szCs w:val="21"/>
              </w:rPr>
              <w:t>标准分5分。按时参加区里组织的各项会议的，得5分，缺席一次扣0.5分，迟到一次扣0.2分，扣完为止。</w:t>
            </w:r>
          </w:p>
        </w:tc>
      </w:tr>
      <w:tr>
        <w:tblPrEx>
          <w:tblCellMar>
            <w:top w:w="0" w:type="dxa"/>
            <w:left w:w="108" w:type="dxa"/>
            <w:bottom w:w="0" w:type="dxa"/>
            <w:right w:w="108" w:type="dxa"/>
          </w:tblCellMar>
        </w:tblPrEx>
        <w:trPr>
          <w:trHeight w:val="1387" w:hRule="exac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3</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其他项目</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合规经营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b w:val="0"/>
                <w:bCs/>
                <w:sz w:val="21"/>
                <w:szCs w:val="21"/>
              </w:rPr>
            </w:pPr>
            <w:r>
              <w:rPr>
                <w:rFonts w:hint="eastAsia"/>
                <w:b w:val="0"/>
                <w:bCs/>
                <w:sz w:val="21"/>
                <w:szCs w:val="21"/>
              </w:rPr>
              <w:t>10分</w:t>
            </w:r>
          </w:p>
        </w:tc>
        <w:tc>
          <w:tcPr>
            <w:tcW w:w="10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b w:val="0"/>
                <w:bCs/>
                <w:sz w:val="21"/>
                <w:szCs w:val="21"/>
              </w:rPr>
            </w:pPr>
            <w:r>
              <w:rPr>
                <w:rFonts w:hint="eastAsia"/>
                <w:b w:val="0"/>
                <w:bCs/>
                <w:sz w:val="21"/>
                <w:szCs w:val="21"/>
              </w:rPr>
              <w:t>当年度未被监管部门处罚的得10分。被监管部门责令改正的，每发生一例扣3分；被行政处罚的，每发生一例扣5分。</w:t>
            </w:r>
          </w:p>
        </w:tc>
      </w:tr>
    </w:tbl>
    <w:p/>
    <w:p>
      <w:pPr>
        <w:spacing w:line="580" w:lineRule="exact"/>
        <w:rPr>
          <w:rFonts w:ascii="黑体" w:eastAsia="黑体"/>
        </w:rPr>
      </w:pPr>
      <w:r>
        <w:rPr>
          <w:rFonts w:hint="eastAsia" w:ascii="黑体" w:eastAsia="黑体"/>
        </w:rPr>
        <w:t>附件5</w:t>
      </w:r>
    </w:p>
    <w:p>
      <w:pPr>
        <w:spacing w:line="580" w:lineRule="exact"/>
        <w:jc w:val="center"/>
        <w:rPr>
          <w:rFonts w:ascii="小标宋" w:eastAsia="小标宋"/>
          <w:sz w:val="44"/>
          <w:szCs w:val="44"/>
        </w:rPr>
      </w:pPr>
      <w:r>
        <w:rPr>
          <w:rFonts w:hint="eastAsia" w:ascii="小标宋" w:eastAsia="小标宋"/>
          <w:sz w:val="44"/>
          <w:szCs w:val="44"/>
        </w:rPr>
        <w:t>小额贷款公司支持鹿城区经济发展业绩考评表</w:t>
      </w:r>
    </w:p>
    <w:p>
      <w:pPr>
        <w:spacing w:line="580" w:lineRule="exact"/>
        <w:jc w:val="center"/>
        <w:rPr>
          <w:rFonts w:ascii="小标宋" w:eastAsia="小标宋"/>
          <w:sz w:val="44"/>
          <w:szCs w:val="44"/>
        </w:rPr>
      </w:pPr>
    </w:p>
    <w:tbl>
      <w:tblPr>
        <w:tblStyle w:val="5"/>
        <w:tblW w:w="14023" w:type="dxa"/>
        <w:jc w:val="center"/>
        <w:tblLayout w:type="fixed"/>
        <w:tblCellMar>
          <w:top w:w="0" w:type="dxa"/>
          <w:left w:w="108" w:type="dxa"/>
          <w:bottom w:w="0" w:type="dxa"/>
          <w:right w:w="108" w:type="dxa"/>
        </w:tblCellMar>
      </w:tblPr>
      <w:tblGrid>
        <w:gridCol w:w="752"/>
        <w:gridCol w:w="1485"/>
        <w:gridCol w:w="1986"/>
        <w:gridCol w:w="1043"/>
        <w:gridCol w:w="8757"/>
      </w:tblGrid>
      <w:tr>
        <w:tblPrEx>
          <w:tblCellMar>
            <w:top w:w="0" w:type="dxa"/>
            <w:left w:w="108" w:type="dxa"/>
            <w:bottom w:w="0" w:type="dxa"/>
            <w:right w:w="108" w:type="dxa"/>
          </w:tblCellMar>
        </w:tblPrEx>
        <w:trPr>
          <w:trHeight w:val="572"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4"/>
                <w:szCs w:val="24"/>
              </w:rPr>
            </w:pPr>
            <w:r>
              <w:rPr>
                <w:rFonts w:hint="eastAsia" w:ascii="黑体" w:eastAsia="黑体"/>
                <w:kern w:val="0"/>
                <w:sz w:val="24"/>
                <w:szCs w:val="24"/>
              </w:rPr>
              <w:t>序号</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4"/>
                <w:szCs w:val="24"/>
              </w:rPr>
            </w:pPr>
            <w:r>
              <w:rPr>
                <w:rFonts w:hint="eastAsia" w:ascii="黑体" w:eastAsia="黑体"/>
                <w:kern w:val="0"/>
                <w:sz w:val="24"/>
                <w:szCs w:val="24"/>
              </w:rPr>
              <w:t>项目</w:t>
            </w:r>
          </w:p>
        </w:tc>
        <w:tc>
          <w:tcPr>
            <w:tcW w:w="19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4"/>
                <w:szCs w:val="24"/>
              </w:rPr>
            </w:pPr>
            <w:r>
              <w:rPr>
                <w:rFonts w:hint="eastAsia" w:ascii="黑体" w:eastAsia="黑体"/>
                <w:kern w:val="0"/>
                <w:sz w:val="24"/>
                <w:szCs w:val="24"/>
              </w:rPr>
              <w:t>具体内容</w:t>
            </w:r>
          </w:p>
        </w:tc>
        <w:tc>
          <w:tcPr>
            <w:tcW w:w="10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4"/>
                <w:szCs w:val="24"/>
              </w:rPr>
            </w:pPr>
            <w:r>
              <w:rPr>
                <w:rFonts w:hint="eastAsia" w:ascii="黑体" w:eastAsia="黑体"/>
                <w:kern w:val="0"/>
                <w:sz w:val="24"/>
                <w:szCs w:val="24"/>
              </w:rPr>
              <w:t>标准分</w:t>
            </w:r>
          </w:p>
        </w:tc>
        <w:tc>
          <w:tcPr>
            <w:tcW w:w="87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4"/>
                <w:szCs w:val="24"/>
              </w:rPr>
            </w:pPr>
            <w:r>
              <w:rPr>
                <w:rFonts w:hint="eastAsia" w:ascii="黑体" w:eastAsia="黑体"/>
                <w:kern w:val="0"/>
                <w:sz w:val="24"/>
                <w:szCs w:val="24"/>
              </w:rPr>
              <w:t>评分标准</w:t>
            </w:r>
          </w:p>
        </w:tc>
      </w:tr>
      <w:tr>
        <w:tblPrEx>
          <w:tblCellMar>
            <w:top w:w="0" w:type="dxa"/>
            <w:left w:w="108" w:type="dxa"/>
            <w:bottom w:w="0" w:type="dxa"/>
            <w:right w:w="108" w:type="dxa"/>
          </w:tblCellMar>
        </w:tblPrEx>
        <w:trPr>
          <w:trHeight w:val="986" w:hRule="atLeast"/>
          <w:jc w:val="center"/>
        </w:trPr>
        <w:tc>
          <w:tcPr>
            <w:tcW w:w="75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sz w:val="21"/>
                <w:szCs w:val="21"/>
              </w:rPr>
            </w:pPr>
            <w:r>
              <w:rPr>
                <w:rFonts w:hint="eastAsia"/>
                <w:b w:val="0"/>
                <w:bCs/>
                <w:sz w:val="21"/>
                <w:szCs w:val="21"/>
              </w:rPr>
              <w:t>1</w:t>
            </w:r>
          </w:p>
        </w:tc>
        <w:tc>
          <w:tcPr>
            <w:tcW w:w="14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sz w:val="21"/>
                <w:szCs w:val="21"/>
              </w:rPr>
            </w:pPr>
            <w:r>
              <w:rPr>
                <w:rFonts w:hint="eastAsia"/>
                <w:b w:val="0"/>
                <w:bCs/>
                <w:sz w:val="21"/>
                <w:szCs w:val="21"/>
              </w:rPr>
              <w:t>监管评级</w:t>
            </w:r>
          </w:p>
        </w:tc>
        <w:tc>
          <w:tcPr>
            <w:tcW w:w="1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sz w:val="21"/>
                <w:szCs w:val="21"/>
              </w:rPr>
            </w:pPr>
            <w:r>
              <w:rPr>
                <w:rFonts w:hint="eastAsia"/>
                <w:b w:val="0"/>
                <w:bCs/>
                <w:sz w:val="21"/>
                <w:szCs w:val="21"/>
              </w:rPr>
              <w:t>省监管评级等级</w:t>
            </w:r>
          </w:p>
        </w:tc>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sz w:val="21"/>
                <w:szCs w:val="21"/>
              </w:rPr>
            </w:pPr>
            <w:r>
              <w:rPr>
                <w:rFonts w:hint="eastAsia"/>
                <w:b w:val="0"/>
                <w:bCs/>
                <w:sz w:val="21"/>
                <w:szCs w:val="21"/>
              </w:rPr>
              <w:t>80分</w:t>
            </w: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b w:val="0"/>
                <w:bCs/>
                <w:kern w:val="0"/>
                <w:sz w:val="21"/>
                <w:szCs w:val="21"/>
              </w:rPr>
            </w:pPr>
            <w:r>
              <w:rPr>
                <w:rFonts w:hint="eastAsia"/>
                <w:b w:val="0"/>
                <w:bCs/>
                <w:kern w:val="0"/>
                <w:sz w:val="21"/>
                <w:szCs w:val="21"/>
              </w:rPr>
              <w:t>按照上一年度小额贷款公司省级监管评级结果予以赋分，评级结果为A级的得80分，评级结果为B级的得75分，评级结果为C级的得70分，评级结果为D级的得60分，评级结果低于D级的小额贷款公司取消考核奖励资格</w:t>
            </w:r>
          </w:p>
        </w:tc>
      </w:tr>
      <w:tr>
        <w:tblPrEx>
          <w:tblCellMar>
            <w:top w:w="0" w:type="dxa"/>
            <w:left w:w="108" w:type="dxa"/>
            <w:bottom w:w="0" w:type="dxa"/>
            <w:right w:w="108" w:type="dxa"/>
          </w:tblCellMar>
        </w:tblPrEx>
        <w:trPr>
          <w:trHeight w:val="944" w:hRule="atLeast"/>
          <w:jc w:val="center"/>
        </w:trPr>
        <w:tc>
          <w:tcPr>
            <w:tcW w:w="75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2</w:t>
            </w:r>
          </w:p>
        </w:tc>
        <w:tc>
          <w:tcPr>
            <w:tcW w:w="14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highlight w:val="none"/>
              </w:rPr>
            </w:pPr>
            <w:r>
              <w:rPr>
                <w:rFonts w:hint="eastAsia"/>
                <w:b w:val="0"/>
                <w:bCs/>
                <w:kern w:val="0"/>
                <w:sz w:val="21"/>
                <w:szCs w:val="21"/>
                <w:highlight w:val="none"/>
              </w:rPr>
              <w:t>业务考核</w:t>
            </w:r>
          </w:p>
        </w:tc>
        <w:tc>
          <w:tcPr>
            <w:tcW w:w="1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sz w:val="21"/>
                <w:szCs w:val="21"/>
                <w:highlight w:val="none"/>
              </w:rPr>
            </w:pPr>
            <w:r>
              <w:rPr>
                <w:rFonts w:hint="eastAsia"/>
                <w:b w:val="0"/>
                <w:bCs/>
                <w:sz w:val="21"/>
                <w:szCs w:val="21"/>
                <w:highlight w:val="none"/>
              </w:rPr>
              <w:t>完成市金融办考核要求情况</w:t>
            </w:r>
          </w:p>
        </w:tc>
        <w:tc>
          <w:tcPr>
            <w:tcW w:w="104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highlight w:val="none"/>
              </w:rPr>
            </w:pPr>
            <w:r>
              <w:rPr>
                <w:rFonts w:hint="eastAsia"/>
                <w:b w:val="0"/>
                <w:bCs/>
                <w:kern w:val="0"/>
                <w:sz w:val="21"/>
                <w:szCs w:val="21"/>
                <w:highlight w:val="none"/>
              </w:rPr>
              <w:t>10分</w:t>
            </w: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b w:val="0"/>
                <w:bCs/>
                <w:kern w:val="0"/>
                <w:sz w:val="21"/>
                <w:szCs w:val="21"/>
                <w:highlight w:val="none"/>
              </w:rPr>
            </w:pPr>
            <w:r>
              <w:rPr>
                <w:rFonts w:hint="eastAsia"/>
                <w:b w:val="0"/>
                <w:bCs/>
                <w:kern w:val="0"/>
                <w:sz w:val="21"/>
                <w:szCs w:val="21"/>
                <w:highlight w:val="none"/>
              </w:rPr>
              <w:t>按照市金融办每年制定的关于小额贷款公司的考核指标进行赋分，完成所有考核任务指标的得10分，未完成的按照完成比例得分。</w:t>
            </w:r>
          </w:p>
        </w:tc>
      </w:tr>
      <w:tr>
        <w:tblPrEx>
          <w:tblCellMar>
            <w:top w:w="0" w:type="dxa"/>
            <w:left w:w="108" w:type="dxa"/>
            <w:bottom w:w="0" w:type="dxa"/>
            <w:right w:w="108" w:type="dxa"/>
          </w:tblCellMar>
        </w:tblPrEx>
        <w:trPr>
          <w:trHeight w:val="90" w:hRule="atLeast"/>
          <w:jc w:val="center"/>
        </w:trPr>
        <w:tc>
          <w:tcPr>
            <w:tcW w:w="7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3</w:t>
            </w:r>
          </w:p>
        </w:tc>
        <w:tc>
          <w:tcPr>
            <w:tcW w:w="14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工作衔接</w:t>
            </w:r>
          </w:p>
        </w:tc>
        <w:tc>
          <w:tcPr>
            <w:tcW w:w="19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上报金融数据</w:t>
            </w:r>
          </w:p>
        </w:tc>
        <w:tc>
          <w:tcPr>
            <w:tcW w:w="104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10分</w:t>
            </w: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b w:val="0"/>
                <w:bCs/>
                <w:kern w:val="0"/>
                <w:sz w:val="21"/>
                <w:szCs w:val="21"/>
              </w:rPr>
            </w:pPr>
            <w:r>
              <w:rPr>
                <w:rFonts w:hint="eastAsia"/>
                <w:b w:val="0"/>
                <w:bCs/>
                <w:kern w:val="0"/>
                <w:sz w:val="21"/>
                <w:szCs w:val="21"/>
              </w:rPr>
              <w:t>标准分5分。及时、准确、全面报送数据、报表等资料的，得5分，一次不上报的扣1分，迟报一次扣0.5分，扣完为止。</w:t>
            </w:r>
          </w:p>
        </w:tc>
      </w:tr>
      <w:tr>
        <w:tblPrEx>
          <w:tblCellMar>
            <w:top w:w="0" w:type="dxa"/>
            <w:left w:w="108" w:type="dxa"/>
            <w:bottom w:w="0" w:type="dxa"/>
            <w:right w:w="108" w:type="dxa"/>
          </w:tblCellMar>
        </w:tblPrEx>
        <w:trPr>
          <w:trHeight w:val="816" w:hRule="atLeast"/>
          <w:jc w:val="center"/>
        </w:trPr>
        <w:tc>
          <w:tcPr>
            <w:tcW w:w="7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p>
        </w:tc>
        <w:tc>
          <w:tcPr>
            <w:tcW w:w="148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p>
        </w:tc>
        <w:tc>
          <w:tcPr>
            <w:tcW w:w="1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参加区相关会议情况</w:t>
            </w:r>
          </w:p>
        </w:tc>
        <w:tc>
          <w:tcPr>
            <w:tcW w:w="104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val="0"/>
                <w:bCs/>
                <w:kern w:val="0"/>
                <w:sz w:val="21"/>
                <w:szCs w:val="21"/>
              </w:rPr>
            </w:pP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b w:val="0"/>
                <w:bCs/>
                <w:kern w:val="0"/>
                <w:sz w:val="21"/>
                <w:szCs w:val="21"/>
              </w:rPr>
            </w:pPr>
            <w:r>
              <w:rPr>
                <w:rFonts w:hint="eastAsia"/>
                <w:b w:val="0"/>
                <w:bCs/>
                <w:kern w:val="0"/>
                <w:sz w:val="21"/>
                <w:szCs w:val="21"/>
              </w:rPr>
              <w:t>标准分2.5分。按时参加区里组织的各项会议的，得2.5分，缺席一次扣0.5分，迟到一次扣0.2分，扣完为止。</w:t>
            </w:r>
          </w:p>
        </w:tc>
      </w:tr>
      <w:tr>
        <w:tblPrEx>
          <w:tblCellMar>
            <w:top w:w="0" w:type="dxa"/>
            <w:left w:w="108" w:type="dxa"/>
            <w:bottom w:w="0" w:type="dxa"/>
            <w:right w:w="108" w:type="dxa"/>
          </w:tblCellMar>
        </w:tblPrEx>
        <w:trPr>
          <w:trHeight w:val="733" w:hRule="atLeast"/>
          <w:jc w:val="center"/>
        </w:trPr>
        <w:tc>
          <w:tcPr>
            <w:tcW w:w="7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p>
        </w:tc>
        <w:tc>
          <w:tcPr>
            <w:tcW w:w="148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p>
        </w:tc>
        <w:tc>
          <w:tcPr>
            <w:tcW w:w="1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上报金融信息</w:t>
            </w:r>
          </w:p>
        </w:tc>
        <w:tc>
          <w:tcPr>
            <w:tcW w:w="104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b w:val="0"/>
                <w:bCs/>
                <w:kern w:val="0"/>
                <w:sz w:val="21"/>
                <w:szCs w:val="21"/>
              </w:rPr>
            </w:pP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b w:val="0"/>
                <w:bCs/>
                <w:kern w:val="0"/>
                <w:sz w:val="21"/>
                <w:szCs w:val="21"/>
              </w:rPr>
            </w:pPr>
            <w:r>
              <w:rPr>
                <w:rFonts w:hint="eastAsia"/>
                <w:b w:val="0"/>
                <w:bCs/>
                <w:kern w:val="0"/>
                <w:sz w:val="21"/>
                <w:szCs w:val="21"/>
              </w:rPr>
              <w:t>标准分2.5分。每月报送1篇以上金融信息，报送1篇得0.2分，最高得分不超过2.5分。</w:t>
            </w:r>
          </w:p>
        </w:tc>
      </w:tr>
      <w:tr>
        <w:tblPrEx>
          <w:tblCellMar>
            <w:top w:w="0" w:type="dxa"/>
            <w:left w:w="108" w:type="dxa"/>
            <w:bottom w:w="0" w:type="dxa"/>
            <w:right w:w="108" w:type="dxa"/>
          </w:tblCellMar>
        </w:tblPrEx>
        <w:trPr>
          <w:trHeight w:val="674" w:hRule="atLeast"/>
          <w:jc w:val="center"/>
        </w:trPr>
        <w:tc>
          <w:tcPr>
            <w:tcW w:w="7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4</w:t>
            </w:r>
          </w:p>
        </w:tc>
        <w:tc>
          <w:tcPr>
            <w:tcW w:w="14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加分项</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考评等级</w:t>
            </w:r>
          </w:p>
        </w:tc>
        <w:tc>
          <w:tcPr>
            <w:tcW w:w="1043"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20分</w:t>
            </w:r>
          </w:p>
        </w:tc>
        <w:tc>
          <w:tcPr>
            <w:tcW w:w="87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b w:val="0"/>
                <w:bCs/>
                <w:kern w:val="0"/>
                <w:sz w:val="21"/>
                <w:szCs w:val="21"/>
              </w:rPr>
            </w:pPr>
            <w:r>
              <w:rPr>
                <w:rFonts w:hint="eastAsia"/>
                <w:b w:val="0"/>
                <w:bCs/>
                <w:kern w:val="0"/>
                <w:sz w:val="21"/>
                <w:szCs w:val="21"/>
              </w:rPr>
              <w:t>上一年度监管评级结果为A+的加10分。</w:t>
            </w:r>
          </w:p>
        </w:tc>
      </w:tr>
      <w:tr>
        <w:tblPrEx>
          <w:tblCellMar>
            <w:top w:w="0" w:type="dxa"/>
            <w:left w:w="108" w:type="dxa"/>
            <w:bottom w:w="0" w:type="dxa"/>
            <w:right w:w="108" w:type="dxa"/>
          </w:tblCellMar>
        </w:tblPrEx>
        <w:trPr>
          <w:trHeight w:val="715" w:hRule="atLeast"/>
          <w:jc w:val="center"/>
        </w:trPr>
        <w:tc>
          <w:tcPr>
            <w:tcW w:w="7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p>
        </w:tc>
        <w:tc>
          <w:tcPr>
            <w:tcW w:w="148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r>
              <w:rPr>
                <w:rFonts w:hint="eastAsia"/>
                <w:b w:val="0"/>
                <w:bCs/>
                <w:kern w:val="0"/>
                <w:sz w:val="21"/>
                <w:szCs w:val="21"/>
              </w:rPr>
              <w:t>创新工作</w:t>
            </w:r>
          </w:p>
        </w:tc>
        <w:tc>
          <w:tcPr>
            <w:tcW w:w="104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val="0"/>
                <w:bCs/>
                <w:kern w:val="0"/>
                <w:sz w:val="21"/>
                <w:szCs w:val="21"/>
              </w:rPr>
            </w:pPr>
          </w:p>
        </w:tc>
        <w:tc>
          <w:tcPr>
            <w:tcW w:w="87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b w:val="0"/>
                <w:bCs/>
                <w:kern w:val="0"/>
                <w:sz w:val="21"/>
                <w:szCs w:val="21"/>
              </w:rPr>
            </w:pPr>
            <w:r>
              <w:rPr>
                <w:rFonts w:hint="eastAsia"/>
                <w:b w:val="0"/>
                <w:bCs/>
                <w:kern w:val="0"/>
                <w:sz w:val="21"/>
                <w:szCs w:val="21"/>
              </w:rPr>
              <w:t>开展优先股、定向债等业务创新工作的，最高加10分。</w:t>
            </w:r>
          </w:p>
        </w:tc>
      </w:tr>
    </w:tbl>
    <w:p>
      <w:pPr>
        <w:spacing w:line="360" w:lineRule="exact"/>
        <w:rPr>
          <w:rFonts w:hint="eastAsia" w:ascii="黑体" w:eastAsia="黑体"/>
        </w:rPr>
      </w:pPr>
    </w:p>
    <w:p>
      <w:pPr>
        <w:spacing w:line="580" w:lineRule="exact"/>
        <w:rPr>
          <w:rFonts w:ascii="黑体" w:eastAsia="黑体"/>
        </w:rPr>
      </w:pPr>
      <w:r>
        <w:rPr>
          <w:rFonts w:hint="eastAsia" w:ascii="黑体" w:eastAsia="黑体"/>
        </w:rPr>
        <w:t>附件6</w:t>
      </w:r>
    </w:p>
    <w:p>
      <w:pPr>
        <w:spacing w:line="580" w:lineRule="exact"/>
        <w:jc w:val="center"/>
        <w:rPr>
          <w:rFonts w:hint="eastAsia" w:ascii="小标宋" w:eastAsia="小标宋"/>
          <w:sz w:val="44"/>
          <w:szCs w:val="44"/>
        </w:rPr>
      </w:pPr>
      <w:r>
        <w:rPr>
          <w:rFonts w:hint="eastAsia" w:ascii="小标宋" w:eastAsia="小标宋"/>
          <w:sz w:val="44"/>
          <w:szCs w:val="44"/>
        </w:rPr>
        <w:t>融资担保公司支持鹿城区经济发展业绩考评表</w:t>
      </w:r>
    </w:p>
    <w:p>
      <w:pPr>
        <w:spacing w:line="580" w:lineRule="exact"/>
        <w:jc w:val="center"/>
        <w:rPr>
          <w:rFonts w:hint="eastAsia" w:ascii="小标宋" w:eastAsia="小标宋"/>
          <w:sz w:val="44"/>
          <w:szCs w:val="44"/>
        </w:rPr>
      </w:pPr>
    </w:p>
    <w:tbl>
      <w:tblPr>
        <w:tblStyle w:val="5"/>
        <w:tblW w:w="14023" w:type="dxa"/>
        <w:jc w:val="center"/>
        <w:tblLayout w:type="fixed"/>
        <w:tblCellMar>
          <w:top w:w="0" w:type="dxa"/>
          <w:left w:w="108" w:type="dxa"/>
          <w:bottom w:w="0" w:type="dxa"/>
          <w:right w:w="108" w:type="dxa"/>
        </w:tblCellMar>
      </w:tblPr>
      <w:tblGrid>
        <w:gridCol w:w="752"/>
        <w:gridCol w:w="1485"/>
        <w:gridCol w:w="1986"/>
        <w:gridCol w:w="1043"/>
        <w:gridCol w:w="8757"/>
      </w:tblGrid>
      <w:tr>
        <w:tblPrEx>
          <w:tblCellMar>
            <w:top w:w="0" w:type="dxa"/>
            <w:left w:w="108" w:type="dxa"/>
            <w:bottom w:w="0" w:type="dxa"/>
            <w:right w:w="108" w:type="dxa"/>
          </w:tblCellMar>
        </w:tblPrEx>
        <w:trPr>
          <w:trHeight w:val="451"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项目</w:t>
            </w:r>
          </w:p>
        </w:tc>
        <w:tc>
          <w:tcPr>
            <w:tcW w:w="19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具体内容</w:t>
            </w:r>
          </w:p>
        </w:tc>
        <w:tc>
          <w:tcPr>
            <w:tcW w:w="10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标准分</w:t>
            </w:r>
          </w:p>
        </w:tc>
        <w:tc>
          <w:tcPr>
            <w:tcW w:w="87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rPr>
            </w:pPr>
            <w:r>
              <w:rPr>
                <w:rFonts w:hint="eastAsia" w:ascii="黑体" w:hAnsi="黑体" w:eastAsia="黑体" w:cs="黑体"/>
                <w:kern w:val="0"/>
                <w:sz w:val="24"/>
                <w:szCs w:val="24"/>
              </w:rPr>
              <w:t>评分标准</w:t>
            </w:r>
          </w:p>
        </w:tc>
      </w:tr>
      <w:tr>
        <w:tblPrEx>
          <w:tblCellMar>
            <w:top w:w="0" w:type="dxa"/>
            <w:left w:w="108" w:type="dxa"/>
            <w:bottom w:w="0" w:type="dxa"/>
            <w:right w:w="108" w:type="dxa"/>
          </w:tblCellMar>
        </w:tblPrEx>
        <w:trPr>
          <w:trHeight w:val="1650" w:hRule="atLeast"/>
          <w:jc w:val="center"/>
        </w:trPr>
        <w:tc>
          <w:tcPr>
            <w:tcW w:w="7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0"/>
                <w:sz w:val="21"/>
                <w:szCs w:val="21"/>
              </w:rPr>
            </w:pPr>
            <w:r>
              <w:rPr>
                <w:rFonts w:hint="eastAsia" w:ascii="仿宋_GB2312" w:hAnsi="仿宋_GB2312" w:eastAsia="仿宋_GB2312" w:cs="仿宋_GB2312"/>
                <w:b w:val="0"/>
                <w:bCs/>
                <w:kern w:val="0"/>
                <w:sz w:val="21"/>
                <w:szCs w:val="21"/>
              </w:rPr>
              <w:t>1</w:t>
            </w:r>
          </w:p>
        </w:tc>
        <w:tc>
          <w:tcPr>
            <w:tcW w:w="14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0"/>
                <w:sz w:val="21"/>
                <w:szCs w:val="21"/>
              </w:rPr>
            </w:pPr>
            <w:r>
              <w:rPr>
                <w:rFonts w:hint="eastAsia" w:ascii="仿宋_GB2312" w:hAnsi="仿宋_GB2312" w:eastAsia="仿宋_GB2312" w:cs="仿宋_GB2312"/>
                <w:b w:val="0"/>
                <w:bCs/>
                <w:kern w:val="0"/>
                <w:sz w:val="21"/>
                <w:szCs w:val="21"/>
              </w:rPr>
              <w:t>业务开展</w:t>
            </w:r>
          </w:p>
        </w:tc>
        <w:tc>
          <w:tcPr>
            <w:tcW w:w="19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融资担保业务在保余额增加情况</w:t>
            </w:r>
          </w:p>
        </w:tc>
        <w:tc>
          <w:tcPr>
            <w:tcW w:w="104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70分</w:t>
            </w: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标准分40分。新增在保余额（20分），根据本年度新增在保余额进行排名，第一名得20分，按照排名依次递减3分赋分。新增在保余额为负值的不得分。新增小微企业、三农在保余额（20分），根据本年度新增小微企业、三农在保余额进行排名，第一名得25分，按照排名依次递减3分赋分。小微企业、三农在保余额增长额为负值的不得分。小微企业、三农在保余额达5000万元，再加3分；5000万元以上的，每增加1000万元加1分，加分最高不超过15分。</w:t>
            </w:r>
          </w:p>
        </w:tc>
      </w:tr>
      <w:tr>
        <w:tblPrEx>
          <w:tblCellMar>
            <w:top w:w="0" w:type="dxa"/>
            <w:left w:w="108" w:type="dxa"/>
            <w:bottom w:w="0" w:type="dxa"/>
            <w:right w:w="108" w:type="dxa"/>
          </w:tblCellMar>
        </w:tblPrEx>
        <w:trPr>
          <w:trHeight w:val="764" w:hRule="atLeast"/>
          <w:jc w:val="center"/>
        </w:trPr>
        <w:tc>
          <w:tcPr>
            <w:tcW w:w="7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0"/>
                <w:sz w:val="21"/>
                <w:szCs w:val="21"/>
              </w:rPr>
            </w:pPr>
          </w:p>
        </w:tc>
        <w:tc>
          <w:tcPr>
            <w:tcW w:w="148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0"/>
                <w:sz w:val="21"/>
                <w:szCs w:val="21"/>
              </w:rPr>
            </w:pPr>
          </w:p>
        </w:tc>
        <w:tc>
          <w:tcPr>
            <w:tcW w:w="1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费率收取情况</w:t>
            </w:r>
          </w:p>
        </w:tc>
        <w:tc>
          <w:tcPr>
            <w:tcW w:w="104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1"/>
                <w:szCs w:val="21"/>
              </w:rPr>
            </w:pP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标准分10分。根据年度综合费率收取情况进行排名，收费最低的得10分，按照排名依次递减</w:t>
            </w:r>
            <w:r>
              <w:rPr>
                <w:rFonts w:hint="eastAsia" w:hAnsi="仿宋_GB2312" w:cs="仿宋_GB2312"/>
                <w:kern w:val="0"/>
                <w:sz w:val="21"/>
                <w:szCs w:val="21"/>
                <w:lang w:val="en-US" w:eastAsia="zh-CN"/>
              </w:rPr>
              <w:t>2</w:t>
            </w:r>
            <w:r>
              <w:rPr>
                <w:rFonts w:hint="eastAsia" w:ascii="仿宋_GB2312" w:hAnsi="仿宋_GB2312" w:eastAsia="仿宋_GB2312" w:cs="仿宋_GB2312"/>
                <w:kern w:val="0"/>
                <w:sz w:val="21"/>
                <w:szCs w:val="21"/>
              </w:rPr>
              <w:t>分赋分。</w:t>
            </w:r>
          </w:p>
        </w:tc>
      </w:tr>
      <w:tr>
        <w:tblPrEx>
          <w:tblCellMar>
            <w:top w:w="0" w:type="dxa"/>
            <w:left w:w="108" w:type="dxa"/>
            <w:bottom w:w="0" w:type="dxa"/>
            <w:right w:w="108" w:type="dxa"/>
          </w:tblCellMar>
        </w:tblPrEx>
        <w:trPr>
          <w:trHeight w:val="563" w:hRule="atLeast"/>
          <w:jc w:val="center"/>
        </w:trPr>
        <w:tc>
          <w:tcPr>
            <w:tcW w:w="7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0"/>
                <w:sz w:val="21"/>
                <w:szCs w:val="21"/>
              </w:rPr>
            </w:pPr>
          </w:p>
        </w:tc>
        <w:tc>
          <w:tcPr>
            <w:tcW w:w="148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0"/>
                <w:sz w:val="21"/>
                <w:szCs w:val="21"/>
              </w:rPr>
            </w:pPr>
          </w:p>
        </w:tc>
        <w:tc>
          <w:tcPr>
            <w:tcW w:w="1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年审情况</w:t>
            </w:r>
          </w:p>
        </w:tc>
        <w:tc>
          <w:tcPr>
            <w:tcW w:w="104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1"/>
                <w:szCs w:val="21"/>
              </w:rPr>
            </w:pPr>
          </w:p>
        </w:tc>
        <w:tc>
          <w:tcPr>
            <w:tcW w:w="87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highlight w:val="none"/>
              </w:rPr>
              <w:t>标准分20分。按照省、市金融办制定的关于融资担保公司的年审情况排名进行赋分，第一名得10分，按照排名依次递减</w:t>
            </w:r>
            <w:r>
              <w:rPr>
                <w:rFonts w:hint="eastAsia" w:hAnsi="仿宋_GB2312" w:cs="仿宋_GB2312"/>
                <w:kern w:val="0"/>
                <w:sz w:val="21"/>
                <w:szCs w:val="21"/>
                <w:highlight w:val="none"/>
                <w:lang w:val="en-US" w:eastAsia="zh-CN"/>
              </w:rPr>
              <w:t>2</w:t>
            </w:r>
            <w:r>
              <w:rPr>
                <w:rFonts w:hint="eastAsia" w:ascii="仿宋_GB2312" w:hAnsi="仿宋_GB2312" w:eastAsia="仿宋_GB2312" w:cs="仿宋_GB2312"/>
                <w:kern w:val="0"/>
                <w:sz w:val="21"/>
                <w:szCs w:val="21"/>
                <w:highlight w:val="none"/>
              </w:rPr>
              <w:t>分赋分。</w:t>
            </w:r>
          </w:p>
        </w:tc>
      </w:tr>
      <w:tr>
        <w:tblPrEx>
          <w:tblCellMar>
            <w:top w:w="0" w:type="dxa"/>
            <w:left w:w="108" w:type="dxa"/>
            <w:bottom w:w="0" w:type="dxa"/>
            <w:right w:w="108" w:type="dxa"/>
          </w:tblCellMar>
        </w:tblPrEx>
        <w:trPr>
          <w:trHeight w:val="714" w:hRule="atLeast"/>
          <w:jc w:val="center"/>
        </w:trPr>
        <w:tc>
          <w:tcPr>
            <w:tcW w:w="75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rPr>
              <w:t>2</w:t>
            </w:r>
          </w:p>
        </w:tc>
        <w:tc>
          <w:tcPr>
            <w:tcW w:w="14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rPr>
              <w:t>工作衔接</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上报金融数据</w:t>
            </w:r>
          </w:p>
        </w:tc>
        <w:tc>
          <w:tcPr>
            <w:tcW w:w="104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10" w:firstLineChars="100"/>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 w:val="21"/>
                <w:szCs w:val="21"/>
              </w:rPr>
              <w:t>1</w:t>
            </w:r>
            <w:r>
              <w:rPr>
                <w:rFonts w:hint="eastAsia" w:hAnsi="仿宋_GB2312" w:cs="仿宋_GB2312"/>
                <w:kern w:val="0"/>
                <w:sz w:val="21"/>
                <w:szCs w:val="21"/>
                <w:lang w:val="en-US" w:eastAsia="zh-CN"/>
              </w:rPr>
              <w:t>5</w:t>
            </w:r>
            <w:r>
              <w:rPr>
                <w:rFonts w:hint="eastAsia" w:ascii="仿宋_GB2312" w:hAnsi="仿宋_GB2312" w:eastAsia="仿宋_GB2312" w:cs="仿宋_GB2312"/>
                <w:kern w:val="0"/>
                <w:sz w:val="21"/>
                <w:szCs w:val="21"/>
              </w:rPr>
              <w:t>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rPr>
            </w:pPr>
          </w:p>
        </w:tc>
        <w:tc>
          <w:tcPr>
            <w:tcW w:w="8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标准分5分。及时、准确、全面报送数据、报表等资料的，得5分，一次不上报的扣1分，迟报一次扣0.5分，扣完为止。</w:t>
            </w:r>
          </w:p>
        </w:tc>
      </w:tr>
      <w:tr>
        <w:tblPrEx>
          <w:tblCellMar>
            <w:top w:w="0" w:type="dxa"/>
            <w:left w:w="108" w:type="dxa"/>
            <w:bottom w:w="0" w:type="dxa"/>
            <w:right w:w="108" w:type="dxa"/>
          </w:tblCellMar>
        </w:tblPrEx>
        <w:trPr>
          <w:trHeight w:val="714" w:hRule="atLeast"/>
          <w:jc w:val="center"/>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1"/>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1"/>
                <w:szCs w:val="21"/>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rPr>
            </w:pPr>
            <w:r>
              <w:rPr>
                <w:rFonts w:hint="eastAsia" w:hAnsi="仿宋_GB2312" w:cs="仿宋_GB2312"/>
                <w:kern w:val="0"/>
                <w:sz w:val="21"/>
                <w:szCs w:val="21"/>
                <w:lang w:eastAsia="zh-CN"/>
              </w:rPr>
              <w:t>配合度</w:t>
            </w:r>
          </w:p>
        </w:tc>
        <w:tc>
          <w:tcPr>
            <w:tcW w:w="10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21"/>
                <w:szCs w:val="21"/>
              </w:rPr>
            </w:pPr>
          </w:p>
        </w:tc>
        <w:tc>
          <w:tcPr>
            <w:tcW w:w="8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标准分</w:t>
            </w:r>
            <w:r>
              <w:rPr>
                <w:rFonts w:hint="eastAsia" w:hAnsi="仿宋_GB2312" w:cs="仿宋_GB2312"/>
                <w:kern w:val="0"/>
                <w:sz w:val="21"/>
                <w:szCs w:val="21"/>
                <w:lang w:val="en-US" w:eastAsia="zh-CN"/>
              </w:rPr>
              <w:t>6</w:t>
            </w:r>
            <w:r>
              <w:rPr>
                <w:rFonts w:hint="eastAsia" w:ascii="仿宋_GB2312" w:hAnsi="仿宋_GB2312" w:eastAsia="仿宋_GB2312" w:cs="仿宋_GB2312"/>
                <w:kern w:val="0"/>
                <w:sz w:val="21"/>
                <w:szCs w:val="21"/>
              </w:rPr>
              <w:t>分。</w:t>
            </w:r>
            <w:r>
              <w:rPr>
                <w:rFonts w:hint="eastAsia"/>
                <w:kern w:val="0"/>
                <w:sz w:val="21"/>
                <w:szCs w:val="21"/>
                <w:lang w:val="en-US" w:eastAsia="zh-CN"/>
              </w:rPr>
              <w:t>在接受监管部门现场检查时，应当如实提供监管部门要求的有关数据资料。不配合检查和有意隐瞒有关情况的，每一次扣2.5分，</w:t>
            </w:r>
            <w:r>
              <w:rPr>
                <w:rFonts w:hint="eastAsia" w:ascii="仿宋_GB2312" w:hAnsi="仿宋_GB2312" w:eastAsia="仿宋_GB2312" w:cs="仿宋_GB2312"/>
                <w:kern w:val="0"/>
                <w:sz w:val="21"/>
                <w:szCs w:val="21"/>
              </w:rPr>
              <w:t>扣完为止。</w:t>
            </w:r>
          </w:p>
        </w:tc>
      </w:tr>
      <w:tr>
        <w:tblPrEx>
          <w:tblCellMar>
            <w:top w:w="0" w:type="dxa"/>
            <w:left w:w="108" w:type="dxa"/>
            <w:bottom w:w="0" w:type="dxa"/>
            <w:right w:w="108" w:type="dxa"/>
          </w:tblCellMar>
        </w:tblPrEx>
        <w:trPr>
          <w:trHeight w:val="503" w:hRule="atLeast"/>
          <w:jc w:val="center"/>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1"/>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sz w:val="21"/>
                <w:szCs w:val="21"/>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参加区相关会议情况</w:t>
            </w:r>
          </w:p>
        </w:tc>
        <w:tc>
          <w:tcPr>
            <w:tcW w:w="10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21"/>
                <w:szCs w:val="21"/>
              </w:rPr>
            </w:pPr>
          </w:p>
        </w:tc>
        <w:tc>
          <w:tcPr>
            <w:tcW w:w="8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标准分</w:t>
            </w:r>
            <w:r>
              <w:rPr>
                <w:rFonts w:hint="eastAsia" w:hAnsi="仿宋_GB2312" w:cs="仿宋_GB2312"/>
                <w:kern w:val="0"/>
                <w:sz w:val="21"/>
                <w:szCs w:val="21"/>
                <w:lang w:val="en-US" w:eastAsia="zh-CN"/>
              </w:rPr>
              <w:t>4</w:t>
            </w:r>
            <w:r>
              <w:rPr>
                <w:rFonts w:hint="eastAsia" w:ascii="仿宋_GB2312" w:hAnsi="仿宋_GB2312" w:eastAsia="仿宋_GB2312" w:cs="仿宋_GB2312"/>
                <w:kern w:val="0"/>
                <w:sz w:val="21"/>
                <w:szCs w:val="21"/>
              </w:rPr>
              <w:t>分。按时参加区里组织的各项会议的，缺席一次扣</w:t>
            </w:r>
            <w:r>
              <w:rPr>
                <w:rFonts w:hint="eastAsia" w:hAnsi="仿宋_GB2312" w:cs="仿宋_GB2312"/>
                <w:kern w:val="0"/>
                <w:sz w:val="21"/>
                <w:szCs w:val="21"/>
                <w:lang w:val="en-US" w:eastAsia="zh-CN"/>
              </w:rPr>
              <w:t>2</w:t>
            </w:r>
            <w:r>
              <w:rPr>
                <w:rFonts w:hint="eastAsia" w:ascii="仿宋_GB2312" w:hAnsi="仿宋_GB2312" w:eastAsia="仿宋_GB2312" w:cs="仿宋_GB2312"/>
                <w:kern w:val="0"/>
                <w:sz w:val="21"/>
                <w:szCs w:val="21"/>
              </w:rPr>
              <w:t>分，迟到一次扣</w:t>
            </w:r>
            <w:r>
              <w:rPr>
                <w:rFonts w:hint="eastAsia" w:hAnsi="仿宋_GB2312" w:cs="仿宋_GB2312"/>
                <w:kern w:val="0"/>
                <w:sz w:val="21"/>
                <w:szCs w:val="21"/>
                <w:lang w:val="en-US" w:eastAsia="zh-CN"/>
              </w:rPr>
              <w:t>1</w:t>
            </w:r>
            <w:r>
              <w:rPr>
                <w:rFonts w:hint="eastAsia" w:ascii="仿宋_GB2312" w:hAnsi="仿宋_GB2312" w:eastAsia="仿宋_GB2312" w:cs="仿宋_GB2312"/>
                <w:kern w:val="0"/>
                <w:sz w:val="21"/>
                <w:szCs w:val="21"/>
              </w:rPr>
              <w:t>分，扣完为止。</w:t>
            </w:r>
          </w:p>
        </w:tc>
      </w:tr>
      <w:tr>
        <w:tblPrEx>
          <w:tblCellMar>
            <w:top w:w="0" w:type="dxa"/>
            <w:left w:w="108" w:type="dxa"/>
            <w:bottom w:w="0" w:type="dxa"/>
            <w:right w:w="108" w:type="dxa"/>
          </w:tblCellMar>
        </w:tblPrEx>
        <w:trPr>
          <w:trHeight w:val="71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0"/>
                <w:sz w:val="21"/>
                <w:szCs w:val="21"/>
              </w:rPr>
            </w:pPr>
            <w:r>
              <w:rPr>
                <w:rFonts w:hint="eastAsia" w:ascii="仿宋_GB2312" w:hAnsi="仿宋_GB2312" w:eastAsia="仿宋_GB2312" w:cs="仿宋_GB2312"/>
                <w:b w:val="0"/>
                <w:bCs/>
                <w:sz w:val="21"/>
                <w:szCs w:val="21"/>
              </w:rPr>
              <w:t>3</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kern w:val="0"/>
                <w:sz w:val="21"/>
                <w:szCs w:val="21"/>
              </w:rPr>
            </w:pPr>
            <w:r>
              <w:rPr>
                <w:rFonts w:hint="eastAsia" w:hAnsi="仿宋_GB2312" w:cs="仿宋_GB2312"/>
                <w:b w:val="0"/>
                <w:bCs/>
                <w:kern w:val="0"/>
                <w:sz w:val="21"/>
                <w:szCs w:val="21"/>
                <w:lang w:eastAsia="zh-CN"/>
              </w:rPr>
              <w:t>纳税贡献</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sz w:val="21"/>
                <w:szCs w:val="21"/>
                <w:lang w:eastAsia="zh-CN"/>
              </w:rPr>
              <w:t>年度纳税额</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1"/>
                <w:szCs w:val="21"/>
              </w:rPr>
            </w:pPr>
            <w:r>
              <w:rPr>
                <w:rFonts w:hint="eastAsia" w:hAnsi="仿宋_GB2312" w:cs="仿宋_GB2312"/>
                <w:kern w:val="0"/>
                <w:sz w:val="21"/>
                <w:szCs w:val="21"/>
                <w:lang w:val="en-US" w:eastAsia="zh-CN"/>
              </w:rPr>
              <w:t>15分</w:t>
            </w:r>
          </w:p>
        </w:tc>
        <w:tc>
          <w:tcPr>
            <w:tcW w:w="8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ascii="仿宋_GB2312" w:hAnsi="仿宋_GB2312" w:eastAsia="仿宋_GB2312" w:cs="仿宋_GB2312"/>
                <w:kern w:val="0"/>
                <w:sz w:val="21"/>
                <w:szCs w:val="21"/>
              </w:rPr>
            </w:pPr>
            <w:r>
              <w:rPr>
                <w:rFonts w:hint="eastAsia"/>
                <w:kern w:val="0"/>
                <w:sz w:val="21"/>
                <w:szCs w:val="21"/>
              </w:rPr>
              <w:t>根据年度</w:t>
            </w:r>
            <w:r>
              <w:rPr>
                <w:rFonts w:hint="eastAsia"/>
                <w:kern w:val="0"/>
                <w:sz w:val="21"/>
                <w:szCs w:val="21"/>
                <w:lang w:eastAsia="zh-CN"/>
              </w:rPr>
              <w:t>纳税额</w:t>
            </w:r>
            <w:r>
              <w:rPr>
                <w:rFonts w:hint="eastAsia"/>
                <w:kern w:val="0"/>
                <w:sz w:val="21"/>
                <w:szCs w:val="21"/>
              </w:rPr>
              <w:t>情况进行排名，第一名得</w:t>
            </w:r>
            <w:r>
              <w:rPr>
                <w:rFonts w:hint="eastAsia"/>
                <w:kern w:val="0"/>
                <w:sz w:val="21"/>
                <w:szCs w:val="21"/>
                <w:lang w:val="en-US" w:eastAsia="zh-CN"/>
              </w:rPr>
              <w:t>15</w:t>
            </w:r>
            <w:r>
              <w:rPr>
                <w:rFonts w:hint="eastAsia"/>
                <w:kern w:val="0"/>
                <w:sz w:val="21"/>
                <w:szCs w:val="21"/>
              </w:rPr>
              <w:t>分，按照排名依次递减</w:t>
            </w:r>
            <w:r>
              <w:rPr>
                <w:rFonts w:hint="eastAsia"/>
                <w:kern w:val="0"/>
                <w:sz w:val="21"/>
                <w:szCs w:val="21"/>
                <w:lang w:val="en-US" w:eastAsia="zh-CN"/>
              </w:rPr>
              <w:t>2</w:t>
            </w:r>
            <w:r>
              <w:rPr>
                <w:rFonts w:hint="eastAsia"/>
                <w:kern w:val="0"/>
                <w:sz w:val="21"/>
                <w:szCs w:val="21"/>
              </w:rPr>
              <w:t>分赋分。</w:t>
            </w:r>
          </w:p>
        </w:tc>
      </w:tr>
    </w:tbl>
    <w:p>
      <w:pPr>
        <w:spacing w:line="580" w:lineRule="exact"/>
        <w:rPr>
          <w:rFonts w:ascii="黑体" w:eastAsia="黑体"/>
        </w:rPr>
      </w:pPr>
      <w:r>
        <w:rPr>
          <w:rFonts w:hint="eastAsia" w:ascii="黑体" w:eastAsia="黑体"/>
        </w:rPr>
        <w:t>附件7</w:t>
      </w:r>
    </w:p>
    <w:p>
      <w:pPr>
        <w:spacing w:line="580" w:lineRule="exact"/>
        <w:jc w:val="center"/>
        <w:rPr>
          <w:rFonts w:ascii="小标宋" w:eastAsia="小标宋"/>
          <w:sz w:val="44"/>
          <w:szCs w:val="44"/>
        </w:rPr>
      </w:pPr>
      <w:r>
        <w:rPr>
          <w:rFonts w:hint="eastAsia" w:ascii="小标宋" w:eastAsia="小标宋"/>
          <w:sz w:val="44"/>
          <w:szCs w:val="44"/>
        </w:rPr>
        <w:t>典当行支持鹿城区经济发展业绩考评表</w:t>
      </w:r>
    </w:p>
    <w:p>
      <w:pPr>
        <w:spacing w:line="580" w:lineRule="exact"/>
        <w:jc w:val="center"/>
        <w:rPr>
          <w:rFonts w:ascii="小标宋" w:eastAsia="小标宋"/>
          <w:sz w:val="44"/>
          <w:szCs w:val="44"/>
        </w:rPr>
      </w:pPr>
    </w:p>
    <w:tbl>
      <w:tblPr>
        <w:tblStyle w:val="5"/>
        <w:tblW w:w="14023" w:type="dxa"/>
        <w:tblInd w:w="0" w:type="dxa"/>
        <w:tblLayout w:type="fixed"/>
        <w:tblCellMar>
          <w:top w:w="0" w:type="dxa"/>
          <w:left w:w="108" w:type="dxa"/>
          <w:bottom w:w="0" w:type="dxa"/>
          <w:right w:w="108" w:type="dxa"/>
        </w:tblCellMar>
      </w:tblPr>
      <w:tblGrid>
        <w:gridCol w:w="752"/>
        <w:gridCol w:w="1485"/>
        <w:gridCol w:w="1986"/>
        <w:gridCol w:w="1043"/>
        <w:gridCol w:w="8757"/>
      </w:tblGrid>
      <w:tr>
        <w:tblPrEx>
          <w:tblCellMar>
            <w:top w:w="0" w:type="dxa"/>
            <w:left w:w="108" w:type="dxa"/>
            <w:bottom w:w="0" w:type="dxa"/>
            <w:right w:w="108" w:type="dxa"/>
          </w:tblCellMar>
        </w:tblPrEx>
        <w:trPr>
          <w:trHeight w:val="639"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eastAsia="黑体"/>
                <w:kern w:val="0"/>
                <w:sz w:val="24"/>
                <w:szCs w:val="24"/>
              </w:rPr>
            </w:pPr>
            <w:r>
              <w:rPr>
                <w:rFonts w:hint="eastAsia" w:ascii="黑体" w:eastAsia="黑体"/>
                <w:kern w:val="0"/>
                <w:sz w:val="24"/>
                <w:szCs w:val="24"/>
              </w:rPr>
              <w:t>序号</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eastAsia="黑体"/>
                <w:kern w:val="0"/>
                <w:sz w:val="24"/>
                <w:szCs w:val="24"/>
              </w:rPr>
            </w:pPr>
            <w:r>
              <w:rPr>
                <w:rFonts w:hint="eastAsia" w:ascii="黑体" w:eastAsia="黑体"/>
                <w:kern w:val="0"/>
                <w:sz w:val="24"/>
                <w:szCs w:val="24"/>
              </w:rPr>
              <w:t>项目</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eastAsia="黑体"/>
                <w:kern w:val="0"/>
                <w:sz w:val="24"/>
                <w:szCs w:val="24"/>
              </w:rPr>
            </w:pPr>
            <w:r>
              <w:rPr>
                <w:rFonts w:hint="eastAsia" w:ascii="黑体" w:eastAsia="黑体"/>
                <w:kern w:val="0"/>
                <w:sz w:val="24"/>
                <w:szCs w:val="24"/>
              </w:rPr>
              <w:t>具体内容</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eastAsia="黑体"/>
                <w:kern w:val="0"/>
                <w:sz w:val="24"/>
                <w:szCs w:val="24"/>
              </w:rPr>
            </w:pPr>
            <w:r>
              <w:rPr>
                <w:rFonts w:hint="eastAsia" w:ascii="黑体" w:eastAsia="黑体"/>
                <w:kern w:val="0"/>
                <w:sz w:val="24"/>
                <w:szCs w:val="24"/>
              </w:rPr>
              <w:t>标准分</w:t>
            </w:r>
          </w:p>
        </w:tc>
        <w:tc>
          <w:tcPr>
            <w:tcW w:w="8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eastAsia="黑体"/>
                <w:kern w:val="0"/>
                <w:sz w:val="24"/>
                <w:szCs w:val="24"/>
              </w:rPr>
            </w:pPr>
            <w:r>
              <w:rPr>
                <w:rFonts w:hint="eastAsia" w:ascii="黑体" w:eastAsia="黑体"/>
                <w:kern w:val="0"/>
                <w:sz w:val="24"/>
                <w:szCs w:val="24"/>
              </w:rPr>
              <w:t>评分标准</w:t>
            </w:r>
          </w:p>
        </w:tc>
      </w:tr>
      <w:tr>
        <w:tblPrEx>
          <w:tblCellMar>
            <w:top w:w="0" w:type="dxa"/>
            <w:left w:w="108" w:type="dxa"/>
            <w:bottom w:w="0" w:type="dxa"/>
            <w:right w:w="108" w:type="dxa"/>
          </w:tblCellMar>
        </w:tblPrEx>
        <w:trPr>
          <w:trHeight w:val="1119"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b w:val="0"/>
                <w:bCs/>
                <w:sz w:val="21"/>
                <w:szCs w:val="21"/>
              </w:rPr>
            </w:pPr>
            <w:r>
              <w:rPr>
                <w:rFonts w:hint="eastAsia"/>
                <w:b w:val="0"/>
                <w:bCs/>
                <w:sz w:val="21"/>
                <w:szCs w:val="21"/>
              </w:rPr>
              <w:t>1</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b w:val="0"/>
                <w:bCs/>
                <w:sz w:val="21"/>
                <w:szCs w:val="21"/>
              </w:rPr>
            </w:pPr>
            <w:r>
              <w:rPr>
                <w:rFonts w:hint="eastAsia"/>
                <w:b w:val="0"/>
                <w:bCs/>
                <w:sz w:val="21"/>
                <w:szCs w:val="21"/>
              </w:rPr>
              <w:t>监管评级</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r>
              <w:rPr>
                <w:rFonts w:hint="eastAsia"/>
                <w:sz w:val="21"/>
                <w:szCs w:val="21"/>
              </w:rPr>
              <w:t>省监管评级等级</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sz w:val="21"/>
                <w:szCs w:val="21"/>
              </w:rPr>
            </w:pPr>
            <w:r>
              <w:rPr>
                <w:rFonts w:hint="eastAsia"/>
                <w:sz w:val="21"/>
                <w:szCs w:val="21"/>
                <w:lang w:val="en-US" w:eastAsia="zh-CN"/>
              </w:rPr>
              <w:t>40</w:t>
            </w:r>
            <w:r>
              <w:rPr>
                <w:rFonts w:hint="eastAsia"/>
                <w:sz w:val="21"/>
                <w:szCs w:val="21"/>
              </w:rPr>
              <w:t>分</w:t>
            </w:r>
          </w:p>
        </w:tc>
        <w:tc>
          <w:tcPr>
            <w:tcW w:w="8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jc w:val="left"/>
              <w:rPr>
                <w:kern w:val="0"/>
                <w:sz w:val="21"/>
                <w:szCs w:val="21"/>
              </w:rPr>
            </w:pPr>
            <w:r>
              <w:rPr>
                <w:rFonts w:hint="eastAsia"/>
                <w:kern w:val="0"/>
                <w:sz w:val="21"/>
                <w:szCs w:val="21"/>
              </w:rPr>
              <w:t>据《典当行业监管规定》等文件，按照上一年度典当行省级年度监管分类评级结果予以赋分，评级结果为Ⅰ级的得</w:t>
            </w:r>
            <w:r>
              <w:rPr>
                <w:rFonts w:hint="eastAsia"/>
                <w:kern w:val="0"/>
                <w:sz w:val="21"/>
                <w:szCs w:val="21"/>
                <w:lang w:val="en-US" w:eastAsia="zh-CN"/>
              </w:rPr>
              <w:t>40</w:t>
            </w:r>
            <w:r>
              <w:rPr>
                <w:rFonts w:hint="eastAsia"/>
                <w:kern w:val="0"/>
                <w:sz w:val="21"/>
                <w:szCs w:val="21"/>
              </w:rPr>
              <w:t>分，评级结果为Ⅱ级的得</w:t>
            </w:r>
            <w:r>
              <w:rPr>
                <w:rFonts w:hint="eastAsia"/>
                <w:kern w:val="0"/>
                <w:sz w:val="21"/>
                <w:szCs w:val="21"/>
                <w:lang w:val="en-US" w:eastAsia="zh-CN"/>
              </w:rPr>
              <w:t>35</w:t>
            </w:r>
            <w:r>
              <w:rPr>
                <w:rFonts w:hint="eastAsia"/>
                <w:kern w:val="0"/>
                <w:sz w:val="21"/>
                <w:szCs w:val="21"/>
              </w:rPr>
              <w:t>分，评级结果为Ⅲ级的得</w:t>
            </w:r>
            <w:r>
              <w:rPr>
                <w:rFonts w:hint="eastAsia"/>
                <w:kern w:val="0"/>
                <w:sz w:val="21"/>
                <w:szCs w:val="21"/>
                <w:lang w:val="en-US" w:eastAsia="zh-CN"/>
              </w:rPr>
              <w:t>30</w:t>
            </w:r>
            <w:r>
              <w:rPr>
                <w:rFonts w:hint="eastAsia"/>
                <w:kern w:val="0"/>
                <w:sz w:val="21"/>
                <w:szCs w:val="21"/>
              </w:rPr>
              <w:t>分，评级结果为Ⅳ级的得</w:t>
            </w:r>
            <w:r>
              <w:rPr>
                <w:rFonts w:hint="eastAsia"/>
                <w:kern w:val="0"/>
                <w:sz w:val="21"/>
                <w:szCs w:val="21"/>
                <w:lang w:val="en-US" w:eastAsia="zh-CN"/>
              </w:rPr>
              <w:t>25</w:t>
            </w:r>
            <w:r>
              <w:rPr>
                <w:rFonts w:hint="eastAsia"/>
                <w:kern w:val="0"/>
                <w:sz w:val="21"/>
                <w:szCs w:val="21"/>
              </w:rPr>
              <w:t>分，评级结果低于Ⅴ级的典当有限公司取消考核奖励资格。</w:t>
            </w:r>
          </w:p>
        </w:tc>
      </w:tr>
      <w:tr>
        <w:tblPrEx>
          <w:tblCellMar>
            <w:top w:w="0" w:type="dxa"/>
            <w:left w:w="108" w:type="dxa"/>
            <w:bottom w:w="0" w:type="dxa"/>
            <w:right w:w="108" w:type="dxa"/>
          </w:tblCellMar>
        </w:tblPrEx>
        <w:trPr>
          <w:trHeight w:val="944"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b w:val="0"/>
                <w:bCs/>
                <w:kern w:val="0"/>
                <w:sz w:val="21"/>
                <w:szCs w:val="21"/>
              </w:rPr>
            </w:pPr>
            <w:r>
              <w:rPr>
                <w:rFonts w:hint="eastAsia"/>
                <w:b w:val="0"/>
                <w:bCs/>
                <w:kern w:val="0"/>
                <w:sz w:val="21"/>
                <w:szCs w:val="21"/>
                <w:lang w:val="en-US" w:eastAsia="zh-CN"/>
              </w:rPr>
              <w:t>2</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b w:val="0"/>
                <w:bCs/>
                <w:kern w:val="0"/>
                <w:sz w:val="21"/>
                <w:szCs w:val="21"/>
              </w:rPr>
            </w:pPr>
            <w:r>
              <w:rPr>
                <w:rFonts w:hint="eastAsia"/>
                <w:b w:val="0"/>
                <w:bCs/>
                <w:kern w:val="0"/>
                <w:sz w:val="21"/>
                <w:szCs w:val="21"/>
                <w:lang w:eastAsia="zh-CN"/>
              </w:rPr>
              <w:t>纳税贡献</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r>
              <w:rPr>
                <w:rFonts w:hint="eastAsia"/>
                <w:sz w:val="21"/>
                <w:szCs w:val="21"/>
                <w:lang w:eastAsia="zh-CN"/>
              </w:rPr>
              <w:t>年度纳税额</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kern w:val="0"/>
                <w:sz w:val="21"/>
                <w:szCs w:val="21"/>
              </w:rPr>
            </w:pPr>
            <w:r>
              <w:rPr>
                <w:rFonts w:hint="eastAsia"/>
                <w:kern w:val="0"/>
                <w:sz w:val="21"/>
                <w:szCs w:val="21"/>
                <w:lang w:val="en-US" w:eastAsia="zh-CN"/>
              </w:rPr>
              <w:t>25分</w:t>
            </w:r>
          </w:p>
        </w:tc>
        <w:tc>
          <w:tcPr>
            <w:tcW w:w="8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jc w:val="left"/>
              <w:rPr>
                <w:kern w:val="0"/>
                <w:sz w:val="21"/>
                <w:szCs w:val="21"/>
              </w:rPr>
            </w:pPr>
            <w:r>
              <w:rPr>
                <w:rFonts w:hint="eastAsia"/>
                <w:kern w:val="0"/>
                <w:sz w:val="21"/>
                <w:szCs w:val="21"/>
              </w:rPr>
              <w:t>根据年度典当</w:t>
            </w:r>
            <w:r>
              <w:rPr>
                <w:rFonts w:hint="eastAsia"/>
                <w:kern w:val="0"/>
                <w:sz w:val="21"/>
                <w:szCs w:val="21"/>
                <w:lang w:eastAsia="zh-CN"/>
              </w:rPr>
              <w:t>纳税额</w:t>
            </w:r>
            <w:r>
              <w:rPr>
                <w:rFonts w:hint="eastAsia"/>
                <w:kern w:val="0"/>
                <w:sz w:val="21"/>
                <w:szCs w:val="21"/>
              </w:rPr>
              <w:t>情况进行排名，第一名得</w:t>
            </w:r>
            <w:r>
              <w:rPr>
                <w:rFonts w:hint="eastAsia"/>
                <w:kern w:val="0"/>
                <w:sz w:val="21"/>
                <w:szCs w:val="21"/>
                <w:lang w:val="en-US" w:eastAsia="zh-CN"/>
              </w:rPr>
              <w:t>25</w:t>
            </w:r>
            <w:r>
              <w:rPr>
                <w:rFonts w:hint="eastAsia"/>
                <w:kern w:val="0"/>
                <w:sz w:val="21"/>
                <w:szCs w:val="21"/>
              </w:rPr>
              <w:t>分，按照排名依次递减</w:t>
            </w:r>
            <w:r>
              <w:rPr>
                <w:rFonts w:hint="eastAsia"/>
                <w:kern w:val="0"/>
                <w:sz w:val="21"/>
                <w:szCs w:val="21"/>
                <w:lang w:val="en-US" w:eastAsia="zh-CN"/>
              </w:rPr>
              <w:t>2</w:t>
            </w:r>
            <w:r>
              <w:rPr>
                <w:rFonts w:hint="eastAsia"/>
                <w:kern w:val="0"/>
                <w:sz w:val="21"/>
                <w:szCs w:val="21"/>
              </w:rPr>
              <w:t>分赋分。</w:t>
            </w:r>
          </w:p>
        </w:tc>
      </w:tr>
      <w:tr>
        <w:tblPrEx>
          <w:tblCellMar>
            <w:top w:w="0" w:type="dxa"/>
            <w:left w:w="108" w:type="dxa"/>
            <w:bottom w:w="0" w:type="dxa"/>
            <w:right w:w="108" w:type="dxa"/>
          </w:tblCellMar>
        </w:tblPrEx>
        <w:trPr>
          <w:trHeight w:val="802" w:hRule="atLeast"/>
        </w:trPr>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b w:val="0"/>
                <w:bCs/>
                <w:kern w:val="0"/>
                <w:sz w:val="21"/>
                <w:szCs w:val="21"/>
              </w:rPr>
            </w:pPr>
            <w:r>
              <w:rPr>
                <w:rFonts w:hint="eastAsia"/>
                <w:b w:val="0"/>
                <w:bCs/>
                <w:kern w:val="0"/>
                <w:sz w:val="21"/>
                <w:szCs w:val="21"/>
                <w:lang w:val="en-US" w:eastAsia="zh-CN"/>
              </w:rPr>
              <w:t>3</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b w:val="0"/>
                <w:bCs/>
                <w:kern w:val="0"/>
                <w:sz w:val="21"/>
                <w:szCs w:val="21"/>
              </w:rPr>
            </w:pPr>
            <w:r>
              <w:rPr>
                <w:rFonts w:hint="eastAsia"/>
                <w:b w:val="0"/>
                <w:bCs/>
                <w:kern w:val="0"/>
                <w:sz w:val="21"/>
                <w:szCs w:val="21"/>
              </w:rPr>
              <w:t>业务考核</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r>
              <w:rPr>
                <w:rFonts w:hint="eastAsia"/>
                <w:sz w:val="21"/>
                <w:szCs w:val="21"/>
              </w:rPr>
              <w:t>典当贷款总额增加</w:t>
            </w:r>
          </w:p>
          <w:p>
            <w:pPr>
              <w:widowControl/>
              <w:spacing w:line="240" w:lineRule="exact"/>
              <w:jc w:val="center"/>
              <w:rPr>
                <w:kern w:val="0"/>
                <w:sz w:val="21"/>
                <w:szCs w:val="21"/>
              </w:rPr>
            </w:pPr>
            <w:r>
              <w:rPr>
                <w:rFonts w:hint="eastAsia"/>
                <w:sz w:val="21"/>
                <w:szCs w:val="21"/>
              </w:rPr>
              <w:t>情况</w:t>
            </w:r>
          </w:p>
        </w:tc>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kern w:val="0"/>
                <w:sz w:val="21"/>
                <w:szCs w:val="21"/>
              </w:rPr>
            </w:pPr>
            <w:r>
              <w:rPr>
                <w:rFonts w:hint="eastAsia"/>
                <w:kern w:val="0"/>
                <w:sz w:val="21"/>
                <w:szCs w:val="21"/>
                <w:lang w:val="en-US" w:eastAsia="zh-CN"/>
              </w:rPr>
              <w:t>20</w:t>
            </w:r>
            <w:r>
              <w:rPr>
                <w:rFonts w:hint="eastAsia"/>
                <w:kern w:val="0"/>
                <w:sz w:val="21"/>
                <w:szCs w:val="21"/>
              </w:rPr>
              <w:t>分</w:t>
            </w:r>
          </w:p>
        </w:tc>
        <w:tc>
          <w:tcPr>
            <w:tcW w:w="8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jc w:val="left"/>
              <w:rPr>
                <w:kern w:val="0"/>
                <w:sz w:val="21"/>
                <w:szCs w:val="21"/>
              </w:rPr>
            </w:pPr>
            <w:r>
              <w:rPr>
                <w:rFonts w:hint="eastAsia"/>
                <w:kern w:val="0"/>
                <w:sz w:val="21"/>
                <w:szCs w:val="21"/>
              </w:rPr>
              <w:t>根据年度典当贷款总额增加情况进行排名，第一名得</w:t>
            </w:r>
            <w:r>
              <w:rPr>
                <w:rFonts w:hint="eastAsia"/>
                <w:kern w:val="0"/>
                <w:sz w:val="21"/>
                <w:szCs w:val="21"/>
                <w:lang w:val="en-US" w:eastAsia="zh-CN"/>
              </w:rPr>
              <w:t>20</w:t>
            </w:r>
            <w:r>
              <w:rPr>
                <w:rFonts w:hint="eastAsia"/>
                <w:kern w:val="0"/>
                <w:sz w:val="21"/>
                <w:szCs w:val="21"/>
              </w:rPr>
              <w:t>分，按照排名依次递减</w:t>
            </w:r>
            <w:r>
              <w:rPr>
                <w:rFonts w:hint="eastAsia"/>
                <w:kern w:val="0"/>
                <w:sz w:val="21"/>
                <w:szCs w:val="21"/>
                <w:lang w:val="en-US" w:eastAsia="zh-CN"/>
              </w:rPr>
              <w:t>2</w:t>
            </w:r>
            <w:r>
              <w:rPr>
                <w:rFonts w:hint="eastAsia"/>
                <w:kern w:val="0"/>
                <w:sz w:val="21"/>
                <w:szCs w:val="21"/>
              </w:rPr>
              <w:t>分赋分。</w:t>
            </w:r>
          </w:p>
        </w:tc>
      </w:tr>
      <w:tr>
        <w:tblPrEx>
          <w:tblCellMar>
            <w:top w:w="0" w:type="dxa"/>
            <w:left w:w="108" w:type="dxa"/>
            <w:bottom w:w="0" w:type="dxa"/>
            <w:right w:w="108" w:type="dxa"/>
          </w:tblCellMar>
        </w:tblPrEx>
        <w:trPr>
          <w:trHeight w:val="816" w:hRule="atLeast"/>
        </w:trPr>
        <w:tc>
          <w:tcPr>
            <w:tcW w:w="7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b w:val="0"/>
                <w:bCs/>
                <w:kern w:val="0"/>
                <w:sz w:val="21"/>
                <w:szCs w:val="21"/>
              </w:rPr>
            </w:pPr>
            <w:r>
              <w:rPr>
                <w:rFonts w:hint="eastAsia"/>
                <w:b w:val="0"/>
                <w:bCs/>
                <w:kern w:val="0"/>
                <w:sz w:val="21"/>
                <w:szCs w:val="21"/>
                <w:lang w:val="en-US" w:eastAsia="zh-CN"/>
              </w:rPr>
              <w:t>4</w:t>
            </w:r>
          </w:p>
        </w:tc>
        <w:tc>
          <w:tcPr>
            <w:tcW w:w="14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b w:val="0"/>
                <w:bCs/>
                <w:kern w:val="0"/>
                <w:sz w:val="21"/>
                <w:szCs w:val="21"/>
              </w:rPr>
            </w:pPr>
            <w:r>
              <w:rPr>
                <w:rFonts w:hint="eastAsia"/>
                <w:b w:val="0"/>
                <w:bCs/>
                <w:kern w:val="0"/>
                <w:sz w:val="21"/>
                <w:szCs w:val="21"/>
              </w:rPr>
              <w:t>工作衔接</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kern w:val="0"/>
                <w:sz w:val="21"/>
                <w:szCs w:val="21"/>
              </w:rPr>
            </w:pPr>
            <w:r>
              <w:rPr>
                <w:rFonts w:hint="eastAsia"/>
                <w:kern w:val="0"/>
                <w:sz w:val="21"/>
                <w:szCs w:val="21"/>
              </w:rPr>
              <w:t>上报金融数据</w:t>
            </w:r>
          </w:p>
        </w:tc>
        <w:tc>
          <w:tcPr>
            <w:tcW w:w="10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kern w:val="0"/>
                <w:sz w:val="21"/>
                <w:szCs w:val="21"/>
                <w:lang w:val="en-US" w:eastAsia="zh-CN"/>
              </w:rPr>
            </w:pPr>
          </w:p>
          <w:p>
            <w:pPr>
              <w:widowControl/>
              <w:adjustRightInd w:val="0"/>
              <w:snapToGrid w:val="0"/>
              <w:spacing w:line="240" w:lineRule="exact"/>
              <w:jc w:val="center"/>
              <w:rPr>
                <w:rFonts w:hint="eastAsia"/>
                <w:kern w:val="0"/>
                <w:sz w:val="21"/>
                <w:szCs w:val="21"/>
                <w:lang w:val="en-US" w:eastAsia="zh-CN"/>
              </w:rPr>
            </w:pPr>
          </w:p>
          <w:p>
            <w:pPr>
              <w:widowControl/>
              <w:adjustRightInd w:val="0"/>
              <w:snapToGrid w:val="0"/>
              <w:spacing w:line="240" w:lineRule="exact"/>
              <w:jc w:val="center"/>
              <w:rPr>
                <w:rFonts w:hint="eastAsia"/>
                <w:kern w:val="0"/>
                <w:sz w:val="21"/>
                <w:szCs w:val="21"/>
                <w:lang w:val="en-US" w:eastAsia="zh-CN"/>
              </w:rPr>
            </w:pPr>
          </w:p>
          <w:p>
            <w:pPr>
              <w:widowControl/>
              <w:adjustRightInd w:val="0"/>
              <w:snapToGrid w:val="0"/>
              <w:spacing w:line="240" w:lineRule="exact"/>
              <w:jc w:val="center"/>
              <w:rPr>
                <w:rFonts w:hint="eastAsia"/>
                <w:kern w:val="0"/>
                <w:sz w:val="21"/>
                <w:szCs w:val="21"/>
                <w:lang w:val="en-US" w:eastAsia="zh-CN"/>
              </w:rPr>
            </w:pPr>
            <w:r>
              <w:rPr>
                <w:rFonts w:hint="eastAsia"/>
                <w:kern w:val="0"/>
                <w:sz w:val="21"/>
                <w:szCs w:val="21"/>
                <w:lang w:val="en-US" w:eastAsia="zh-CN"/>
              </w:rPr>
              <w:t>15分</w:t>
            </w:r>
          </w:p>
          <w:p>
            <w:pPr>
              <w:widowControl/>
              <w:adjustRightInd w:val="0"/>
              <w:snapToGrid w:val="0"/>
              <w:spacing w:line="240" w:lineRule="exact"/>
              <w:jc w:val="left"/>
              <w:rPr>
                <w:rFonts w:ascii="仿宋_GB2312" w:hAnsi="宋体" w:eastAsia="仿宋_GB2312" w:cs="宋体"/>
                <w:kern w:val="0"/>
                <w:sz w:val="21"/>
                <w:szCs w:val="21"/>
                <w:lang w:val="en-US" w:eastAsia="zh-CN" w:bidi="ar-SA"/>
              </w:rPr>
            </w:pPr>
          </w:p>
          <w:p>
            <w:pPr>
              <w:widowControl/>
              <w:adjustRightInd w:val="0"/>
              <w:snapToGrid w:val="0"/>
              <w:spacing w:line="240" w:lineRule="exact"/>
              <w:jc w:val="center"/>
              <w:rPr>
                <w:kern w:val="0"/>
                <w:sz w:val="21"/>
                <w:szCs w:val="21"/>
              </w:rPr>
            </w:pPr>
          </w:p>
        </w:tc>
        <w:tc>
          <w:tcPr>
            <w:tcW w:w="8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jc w:val="left"/>
              <w:rPr>
                <w:kern w:val="0"/>
                <w:sz w:val="21"/>
                <w:szCs w:val="21"/>
              </w:rPr>
            </w:pPr>
            <w:r>
              <w:rPr>
                <w:rFonts w:hint="eastAsia"/>
                <w:kern w:val="0"/>
                <w:sz w:val="21"/>
                <w:szCs w:val="21"/>
              </w:rPr>
              <w:t>标准分5分。及时、准确、全面报送数据、报表等资料的，得5分，一次不上报的扣</w:t>
            </w:r>
            <w:r>
              <w:rPr>
                <w:rFonts w:hint="eastAsia"/>
                <w:kern w:val="0"/>
                <w:sz w:val="21"/>
                <w:szCs w:val="21"/>
                <w:lang w:val="en-US" w:eastAsia="zh-CN"/>
              </w:rPr>
              <w:t>2</w:t>
            </w:r>
            <w:r>
              <w:rPr>
                <w:rFonts w:hint="eastAsia"/>
                <w:kern w:val="0"/>
                <w:sz w:val="21"/>
                <w:szCs w:val="21"/>
              </w:rPr>
              <w:t>分，迟报一次扣</w:t>
            </w:r>
            <w:r>
              <w:rPr>
                <w:rFonts w:hint="eastAsia"/>
                <w:kern w:val="0"/>
                <w:sz w:val="21"/>
                <w:szCs w:val="21"/>
                <w:lang w:val="en-US" w:eastAsia="zh-CN"/>
              </w:rPr>
              <w:t>1</w:t>
            </w:r>
            <w:r>
              <w:rPr>
                <w:rFonts w:hint="eastAsia"/>
                <w:kern w:val="0"/>
                <w:sz w:val="21"/>
                <w:szCs w:val="21"/>
              </w:rPr>
              <w:t>分，扣完为止。</w:t>
            </w:r>
          </w:p>
        </w:tc>
      </w:tr>
      <w:tr>
        <w:tblPrEx>
          <w:tblCellMar>
            <w:top w:w="0" w:type="dxa"/>
            <w:left w:w="108" w:type="dxa"/>
            <w:bottom w:w="0" w:type="dxa"/>
            <w:right w:w="108" w:type="dxa"/>
          </w:tblCellMar>
        </w:tblPrEx>
        <w:trPr>
          <w:trHeight w:val="733"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b w:val="0"/>
                <w:bCs/>
                <w:kern w:val="0"/>
                <w:sz w:val="21"/>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b w:val="0"/>
                <w:bCs/>
                <w:kern w:val="0"/>
                <w:sz w:val="21"/>
                <w:szCs w:val="21"/>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kern w:val="0"/>
                <w:sz w:val="21"/>
                <w:szCs w:val="21"/>
              </w:rPr>
            </w:pPr>
            <w:r>
              <w:rPr>
                <w:rFonts w:hint="eastAsia"/>
                <w:kern w:val="0"/>
                <w:sz w:val="21"/>
                <w:szCs w:val="21"/>
                <w:lang w:eastAsia="zh-CN"/>
              </w:rPr>
              <w:t>配合度</w:t>
            </w:r>
          </w:p>
        </w:tc>
        <w:tc>
          <w:tcPr>
            <w:tcW w:w="10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kern w:val="0"/>
                <w:sz w:val="21"/>
                <w:szCs w:val="21"/>
              </w:rPr>
            </w:pPr>
          </w:p>
        </w:tc>
        <w:tc>
          <w:tcPr>
            <w:tcW w:w="8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jc w:val="left"/>
              <w:rPr>
                <w:kern w:val="0"/>
                <w:sz w:val="21"/>
                <w:szCs w:val="21"/>
              </w:rPr>
            </w:pPr>
            <w:r>
              <w:rPr>
                <w:rFonts w:hint="eastAsia" w:ascii="仿宋_GB2312" w:hAnsi="仿宋_GB2312" w:eastAsia="仿宋_GB2312" w:cs="仿宋_GB2312"/>
                <w:kern w:val="0"/>
                <w:sz w:val="21"/>
                <w:szCs w:val="21"/>
              </w:rPr>
              <w:t>标准分</w:t>
            </w:r>
            <w:r>
              <w:rPr>
                <w:rFonts w:hint="eastAsia" w:hAnsi="仿宋_GB2312" w:cs="仿宋_GB2312"/>
                <w:kern w:val="0"/>
                <w:sz w:val="21"/>
                <w:szCs w:val="21"/>
                <w:lang w:val="en-US" w:eastAsia="zh-CN"/>
              </w:rPr>
              <w:t>6</w:t>
            </w:r>
            <w:r>
              <w:rPr>
                <w:rFonts w:hint="eastAsia" w:ascii="仿宋_GB2312" w:hAnsi="仿宋_GB2312" w:eastAsia="仿宋_GB2312" w:cs="仿宋_GB2312"/>
                <w:kern w:val="0"/>
                <w:sz w:val="21"/>
                <w:szCs w:val="21"/>
              </w:rPr>
              <w:t>分。</w:t>
            </w:r>
            <w:r>
              <w:rPr>
                <w:rFonts w:hint="eastAsia"/>
                <w:kern w:val="0"/>
                <w:sz w:val="21"/>
                <w:szCs w:val="21"/>
                <w:lang w:val="en-US" w:eastAsia="zh-CN"/>
              </w:rPr>
              <w:t>在接受主管和其他监管部门现场检查时，应当如实提供监管部门要求提供的各类有关数据资料，不配合检查和有意隐瞒有关情况的，扣3分。</w:t>
            </w:r>
          </w:p>
        </w:tc>
      </w:tr>
      <w:tr>
        <w:tblPrEx>
          <w:tblCellMar>
            <w:top w:w="0" w:type="dxa"/>
            <w:left w:w="108" w:type="dxa"/>
            <w:bottom w:w="0" w:type="dxa"/>
            <w:right w:w="108" w:type="dxa"/>
          </w:tblCellMar>
        </w:tblPrEx>
        <w:trPr>
          <w:trHeight w:val="742" w:hRule="atLeast"/>
        </w:trPr>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b w:val="0"/>
                <w:bCs/>
                <w:kern w:val="0"/>
                <w:sz w:val="21"/>
                <w:szCs w:val="21"/>
              </w:rPr>
            </w:pPr>
          </w:p>
        </w:tc>
        <w:tc>
          <w:tcPr>
            <w:tcW w:w="14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b w:val="0"/>
                <w:bCs/>
                <w:kern w:val="0"/>
                <w:sz w:val="21"/>
                <w:szCs w:val="21"/>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kern w:val="0"/>
                <w:sz w:val="21"/>
                <w:szCs w:val="21"/>
              </w:rPr>
            </w:pPr>
            <w:r>
              <w:rPr>
                <w:rFonts w:hint="eastAsia"/>
                <w:kern w:val="0"/>
                <w:sz w:val="21"/>
                <w:szCs w:val="21"/>
              </w:rPr>
              <w:t>参加区相关会议情况</w:t>
            </w:r>
          </w:p>
        </w:tc>
        <w:tc>
          <w:tcPr>
            <w:tcW w:w="10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kern w:val="0"/>
                <w:sz w:val="21"/>
                <w:szCs w:val="21"/>
              </w:rPr>
            </w:pPr>
          </w:p>
        </w:tc>
        <w:tc>
          <w:tcPr>
            <w:tcW w:w="8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20" w:firstLineChars="200"/>
              <w:jc w:val="left"/>
              <w:rPr>
                <w:kern w:val="0"/>
                <w:sz w:val="21"/>
                <w:szCs w:val="21"/>
              </w:rPr>
            </w:pPr>
            <w:r>
              <w:rPr>
                <w:rFonts w:hint="eastAsia"/>
                <w:kern w:val="0"/>
                <w:sz w:val="21"/>
                <w:szCs w:val="21"/>
              </w:rPr>
              <w:t>标准分</w:t>
            </w:r>
            <w:r>
              <w:rPr>
                <w:rFonts w:hint="eastAsia"/>
                <w:kern w:val="0"/>
                <w:sz w:val="21"/>
                <w:szCs w:val="21"/>
                <w:lang w:val="en-US" w:eastAsia="zh-CN"/>
              </w:rPr>
              <w:t>4</w:t>
            </w:r>
            <w:r>
              <w:rPr>
                <w:rFonts w:hint="eastAsia"/>
                <w:kern w:val="0"/>
                <w:sz w:val="21"/>
                <w:szCs w:val="21"/>
              </w:rPr>
              <w:t>分。按时参加区里组织的各项会议的，缺席一次扣</w:t>
            </w:r>
            <w:r>
              <w:rPr>
                <w:rFonts w:hint="eastAsia"/>
                <w:kern w:val="0"/>
                <w:sz w:val="21"/>
                <w:szCs w:val="21"/>
                <w:lang w:val="en-US" w:eastAsia="zh-CN"/>
              </w:rPr>
              <w:t>2</w:t>
            </w:r>
            <w:r>
              <w:rPr>
                <w:rFonts w:hint="eastAsia"/>
                <w:kern w:val="0"/>
                <w:sz w:val="21"/>
                <w:szCs w:val="21"/>
              </w:rPr>
              <w:t>分，迟到一次扣0.</w:t>
            </w:r>
            <w:r>
              <w:rPr>
                <w:rFonts w:hint="eastAsia"/>
                <w:kern w:val="0"/>
                <w:sz w:val="21"/>
                <w:szCs w:val="21"/>
                <w:lang w:val="en-US" w:eastAsia="zh-CN"/>
              </w:rPr>
              <w:t>5</w:t>
            </w:r>
            <w:r>
              <w:rPr>
                <w:rFonts w:hint="eastAsia"/>
                <w:kern w:val="0"/>
                <w:sz w:val="21"/>
                <w:szCs w:val="21"/>
              </w:rPr>
              <w:t>分，扣完为止。</w:t>
            </w:r>
          </w:p>
        </w:tc>
      </w:tr>
    </w:tbl>
    <w:p>
      <w:pPr>
        <w:spacing w:line="480" w:lineRule="exact"/>
        <w:jc w:val="left"/>
        <w:rPr>
          <w:rFonts w:hAnsi="仿宋_GB2312" w:cs="仿宋_GB2312"/>
          <w:sz w:val="24"/>
          <w:szCs w:val="24"/>
        </w:rPr>
      </w:pPr>
    </w:p>
    <w:sectPr>
      <w:footerReference r:id="rId5"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0" w:num="1"/>
      <w:rtlGutter w:val="0"/>
      <w:docGrid w:type="linesAndChar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8"/>
                              <w:rFonts w:ascii="Times New Roman" w:hAnsi="Times New Roman" w:cs="Times New Roman"/>
                            </w:rPr>
                          </w:pPr>
                          <w:r>
                            <w:rPr>
                              <w:rFonts w:ascii="Times New Roman" w:hAnsi="Times New Roman" w:cs="Times New Roman"/>
                              <w:sz w:val="24"/>
                              <w:szCs w:val="24"/>
                            </w:rPr>
                            <w:fldChar w:fldCharType="begin"/>
                          </w:r>
                          <w:r>
                            <w:rPr>
                              <w:rStyle w:val="8"/>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Pr>
                              <w:rStyle w:val="8"/>
                              <w:rFonts w:ascii="Times New Roman" w:hAnsi="Times New Roman" w:cs="Times New Roman"/>
                              <w:sz w:val="24"/>
                              <w:szCs w:val="24"/>
                            </w:rPr>
                            <w:t>11</w:t>
                          </w:r>
                          <w:r>
                            <w:rPr>
                              <w:rFonts w:ascii="Times New Roman" w:hAnsi="Times New Roman" w:cs="Times New Roman"/>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8"/>
                        <w:rFonts w:ascii="Times New Roman" w:hAnsi="Times New Roman" w:cs="Times New Roman"/>
                      </w:rPr>
                    </w:pPr>
                    <w:r>
                      <w:rPr>
                        <w:rFonts w:ascii="Times New Roman" w:hAnsi="Times New Roman" w:cs="Times New Roman"/>
                        <w:sz w:val="24"/>
                        <w:szCs w:val="24"/>
                      </w:rPr>
                      <w:fldChar w:fldCharType="begin"/>
                    </w:r>
                    <w:r>
                      <w:rPr>
                        <w:rStyle w:val="8"/>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Pr>
                        <w:rStyle w:val="8"/>
                        <w:rFonts w:ascii="Times New Roman" w:hAnsi="Times New Roman" w:cs="Times New Roman"/>
                        <w:sz w:val="24"/>
                        <w:szCs w:val="24"/>
                      </w:rPr>
                      <w:t>11</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ascii="Times New Roman" w:hAnsi="Times New Roman" w:cs="Times New Roman"/>
      </w:rPr>
    </w:pPr>
    <w:r>
      <w:rPr>
        <w:rFonts w:ascii="Times New Roman" w:hAnsi="Times New Roman" w:cs="Times New Roman"/>
      </w:rPr>
      <w:fldChar w:fldCharType="begin"/>
    </w:r>
    <w:r>
      <w:rPr>
        <w:rStyle w:val="8"/>
        <w:rFonts w:ascii="Times New Roman" w:hAnsi="Times New Roman" w:cs="Times New Roman"/>
      </w:rPr>
      <w:instrText xml:space="preserve">PAGE  </w:instrText>
    </w:r>
    <w:r>
      <w:rPr>
        <w:rFonts w:ascii="Times New Roman" w:hAnsi="Times New Roman" w:cs="Times New Roman"/>
      </w:rPr>
      <w:fldChar w:fldCharType="separate"/>
    </w:r>
    <w:r>
      <w:rPr>
        <w:rStyle w:val="8"/>
        <w:rFonts w:ascii="Times New Roman" w:hAnsi="Times New Roman" w:cs="Times New Roman"/>
      </w:rPr>
      <w:t>11</w:t>
    </w:r>
    <w:r>
      <w:rPr>
        <w:rFonts w:ascii="Times New Roman" w:hAnsi="Times New Roman" w:cs="Times New Roma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21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93"/>
    <w:rsid w:val="000443FA"/>
    <w:rsid w:val="00050E18"/>
    <w:rsid w:val="000750B8"/>
    <w:rsid w:val="000947F7"/>
    <w:rsid w:val="0009706C"/>
    <w:rsid w:val="000B2F7E"/>
    <w:rsid w:val="000E676E"/>
    <w:rsid w:val="001061F1"/>
    <w:rsid w:val="00112C51"/>
    <w:rsid w:val="00140B18"/>
    <w:rsid w:val="001514FD"/>
    <w:rsid w:val="00164C83"/>
    <w:rsid w:val="00185419"/>
    <w:rsid w:val="00196EBB"/>
    <w:rsid w:val="001A138C"/>
    <w:rsid w:val="00204FCE"/>
    <w:rsid w:val="00234945"/>
    <w:rsid w:val="00234FA2"/>
    <w:rsid w:val="002571BA"/>
    <w:rsid w:val="002A752B"/>
    <w:rsid w:val="002D7E38"/>
    <w:rsid w:val="00302397"/>
    <w:rsid w:val="003F03DA"/>
    <w:rsid w:val="0041694F"/>
    <w:rsid w:val="00467DA0"/>
    <w:rsid w:val="004A2C0A"/>
    <w:rsid w:val="004A3246"/>
    <w:rsid w:val="004A4740"/>
    <w:rsid w:val="004D1DFA"/>
    <w:rsid w:val="00503B8D"/>
    <w:rsid w:val="0051750A"/>
    <w:rsid w:val="00521D02"/>
    <w:rsid w:val="00546251"/>
    <w:rsid w:val="005547E6"/>
    <w:rsid w:val="0056271F"/>
    <w:rsid w:val="005714AB"/>
    <w:rsid w:val="00572CE5"/>
    <w:rsid w:val="005A535B"/>
    <w:rsid w:val="005D647B"/>
    <w:rsid w:val="005E0F4A"/>
    <w:rsid w:val="005E6C07"/>
    <w:rsid w:val="006171DB"/>
    <w:rsid w:val="00627275"/>
    <w:rsid w:val="00661893"/>
    <w:rsid w:val="00670370"/>
    <w:rsid w:val="00673AD1"/>
    <w:rsid w:val="00673B5A"/>
    <w:rsid w:val="006834CA"/>
    <w:rsid w:val="006937F0"/>
    <w:rsid w:val="006D499C"/>
    <w:rsid w:val="006E36E7"/>
    <w:rsid w:val="00741303"/>
    <w:rsid w:val="00743869"/>
    <w:rsid w:val="007536D3"/>
    <w:rsid w:val="00760893"/>
    <w:rsid w:val="00782F11"/>
    <w:rsid w:val="00795A48"/>
    <w:rsid w:val="00797B85"/>
    <w:rsid w:val="007B48E3"/>
    <w:rsid w:val="007E2485"/>
    <w:rsid w:val="00815575"/>
    <w:rsid w:val="00816639"/>
    <w:rsid w:val="008201A4"/>
    <w:rsid w:val="00846B69"/>
    <w:rsid w:val="00851227"/>
    <w:rsid w:val="00854E20"/>
    <w:rsid w:val="00863BF4"/>
    <w:rsid w:val="00867182"/>
    <w:rsid w:val="00875347"/>
    <w:rsid w:val="008D54E1"/>
    <w:rsid w:val="008D7930"/>
    <w:rsid w:val="008F5501"/>
    <w:rsid w:val="009120EB"/>
    <w:rsid w:val="009311B8"/>
    <w:rsid w:val="00960966"/>
    <w:rsid w:val="009E0D5B"/>
    <w:rsid w:val="009F6DC0"/>
    <w:rsid w:val="00A11828"/>
    <w:rsid w:val="00A167A3"/>
    <w:rsid w:val="00A357BA"/>
    <w:rsid w:val="00A80BBA"/>
    <w:rsid w:val="00A80F75"/>
    <w:rsid w:val="00A83D49"/>
    <w:rsid w:val="00A92DE1"/>
    <w:rsid w:val="00AA2E7F"/>
    <w:rsid w:val="00AE04B3"/>
    <w:rsid w:val="00AF7071"/>
    <w:rsid w:val="00B1393F"/>
    <w:rsid w:val="00B32C42"/>
    <w:rsid w:val="00B349F6"/>
    <w:rsid w:val="00B34C02"/>
    <w:rsid w:val="00B35369"/>
    <w:rsid w:val="00B812AB"/>
    <w:rsid w:val="00BC48D0"/>
    <w:rsid w:val="00C12D13"/>
    <w:rsid w:val="00C13222"/>
    <w:rsid w:val="00C27310"/>
    <w:rsid w:val="00C62895"/>
    <w:rsid w:val="00C6547F"/>
    <w:rsid w:val="00C709CC"/>
    <w:rsid w:val="00CB1103"/>
    <w:rsid w:val="00D03088"/>
    <w:rsid w:val="00D05731"/>
    <w:rsid w:val="00D064C3"/>
    <w:rsid w:val="00D24402"/>
    <w:rsid w:val="00D2581E"/>
    <w:rsid w:val="00D26A0E"/>
    <w:rsid w:val="00D34DF1"/>
    <w:rsid w:val="00D500C9"/>
    <w:rsid w:val="00D52AE7"/>
    <w:rsid w:val="00D71525"/>
    <w:rsid w:val="00D909FD"/>
    <w:rsid w:val="00DB27F2"/>
    <w:rsid w:val="00DB7803"/>
    <w:rsid w:val="00DF059F"/>
    <w:rsid w:val="00E00C84"/>
    <w:rsid w:val="00E12920"/>
    <w:rsid w:val="00E23C9A"/>
    <w:rsid w:val="00E261D4"/>
    <w:rsid w:val="00E36D99"/>
    <w:rsid w:val="00E50035"/>
    <w:rsid w:val="00E66120"/>
    <w:rsid w:val="00E71122"/>
    <w:rsid w:val="00E7718B"/>
    <w:rsid w:val="00E85E76"/>
    <w:rsid w:val="00EA137F"/>
    <w:rsid w:val="00EA5885"/>
    <w:rsid w:val="00F0385E"/>
    <w:rsid w:val="00F17381"/>
    <w:rsid w:val="00F43441"/>
    <w:rsid w:val="00F71527"/>
    <w:rsid w:val="00FD1F00"/>
    <w:rsid w:val="00FD23EA"/>
    <w:rsid w:val="09B87B68"/>
    <w:rsid w:val="14C50793"/>
    <w:rsid w:val="181318FA"/>
    <w:rsid w:val="18410136"/>
    <w:rsid w:val="1A7833B7"/>
    <w:rsid w:val="1CC75417"/>
    <w:rsid w:val="22DC20B4"/>
    <w:rsid w:val="23E5043C"/>
    <w:rsid w:val="24C566F3"/>
    <w:rsid w:val="24EC16C6"/>
    <w:rsid w:val="25B021A9"/>
    <w:rsid w:val="27CC200A"/>
    <w:rsid w:val="348E4FC7"/>
    <w:rsid w:val="35D15A1A"/>
    <w:rsid w:val="36256EA3"/>
    <w:rsid w:val="374F38F2"/>
    <w:rsid w:val="3C581685"/>
    <w:rsid w:val="50096646"/>
    <w:rsid w:val="51EC7E8F"/>
    <w:rsid w:val="577951B2"/>
    <w:rsid w:val="57A42511"/>
    <w:rsid w:val="5A3757F1"/>
    <w:rsid w:val="5D3073F9"/>
    <w:rsid w:val="5ECC05FC"/>
    <w:rsid w:val="60367B51"/>
    <w:rsid w:val="667522A7"/>
    <w:rsid w:val="66A74665"/>
    <w:rsid w:val="670A1267"/>
    <w:rsid w:val="6B9D5C9C"/>
    <w:rsid w:val="6C0A43C2"/>
    <w:rsid w:val="6F523463"/>
    <w:rsid w:val="71040804"/>
    <w:rsid w:val="73E23F5A"/>
    <w:rsid w:val="7897398E"/>
    <w:rsid w:val="7B3E5A88"/>
    <w:rsid w:val="7D327A83"/>
    <w:rsid w:val="7DB16C1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rFonts w:hAnsi="Times New Roman" w:cs="Times New Roman"/>
      <w:kern w:val="0"/>
      <w:sz w:val="24"/>
    </w:rPr>
  </w:style>
  <w:style w:type="table" w:styleId="6">
    <w:name w:val="Table Grid"/>
    <w:basedOn w:val="5"/>
    <w:qFormat/>
    <w:locked/>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3"/>
    <w:qFormat/>
    <w:uiPriority w:val="99"/>
    <w:rPr>
      <w:rFonts w:ascii="仿宋_GB2312" w:hAnsi="宋体" w:eastAsia="仿宋_GB2312" w:cs="宋体"/>
      <w:kern w:val="2"/>
      <w:sz w:val="18"/>
      <w:szCs w:val="18"/>
    </w:rPr>
  </w:style>
  <w:style w:type="character" w:customStyle="1" w:styleId="10">
    <w:name w:val="页脚 Char"/>
    <w:basedOn w:val="7"/>
    <w:link w:val="2"/>
    <w:qFormat/>
    <w:uiPriority w:val="99"/>
    <w:rPr>
      <w:rFonts w:ascii="仿宋_GB2312" w:hAnsi="宋体" w:eastAsia="仿宋_GB2312"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B9BD8-0D97-4F1B-AD88-69584EB239B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478</Words>
  <Characters>2731</Characters>
  <Lines>22</Lines>
  <Paragraphs>6</Paragraphs>
  <TotalTime>1</TotalTime>
  <ScaleCrop>false</ScaleCrop>
  <LinksUpToDate>false</LinksUpToDate>
  <CharactersWithSpaces>3203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2018-07-26T01:15:00Z</dcterms:created>
  <dc:creator>微软用户</dc:creator>
  <cp:lastModifiedBy>姜博</cp:lastModifiedBy>
  <cp:lastPrinted>2021-07-06T08:36:00Z</cp:lastPrinted>
  <dcterms:modified xsi:type="dcterms:W3CDTF">2021-07-06T08:43:28Z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15C609996F5C480D81F8880C6AE835BA</vt:lpwstr>
  </property>
</Properties>
</file>