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ind w:left="0"/>
        <w:jc w:val="center"/>
        <w:rPr>
          <w:rFonts w:hint="eastAsia" w:ascii="宋体" w:hAnsi="宋体" w:eastAsia="宋体" w:cs="宋体"/>
          <w:kern w:val="0"/>
          <w:sz w:val="24"/>
          <w:szCs w:val="24"/>
          <w:highlight w:val="none"/>
        </w:rPr>
      </w:pPr>
      <w:bookmarkStart w:id="0" w:name="_GoBack"/>
      <w:bookmarkEnd w:id="0"/>
      <w:r>
        <w:rPr>
          <w:rStyle w:val="5"/>
          <w:rFonts w:hint="eastAsia" w:ascii="黑体" w:hAnsi="宋体" w:eastAsia="黑体" w:cs="黑体"/>
          <w:b/>
          <w:sz w:val="44"/>
          <w:szCs w:val="44"/>
          <w:highlight w:val="none"/>
          <w:shd w:val="clear" w:fill="FFFFFF"/>
        </w:rPr>
        <w:t xml:space="preserve">温州市鹿城区规划编研中心2019年度部门决算 </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shd w:val="clear" w:fill="FFFFFF"/>
        </w:rPr>
        <w:t xml:space="preserve"> </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shd w:val="clear" w:fill="FFFFFF"/>
        </w:rPr>
        <w:t xml:space="preserve"> </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黑体" w:hAnsi="宋体" w:eastAsia="黑体" w:cs="黑体"/>
          <w:b/>
          <w:kern w:val="0"/>
          <w:sz w:val="32"/>
          <w:szCs w:val="32"/>
          <w:highlight w:val="none"/>
          <w:shd w:val="clear" w:fill="FFFFFF"/>
        </w:rPr>
        <w:t>一、温州市鹿城区规划编研中心概况</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楷体" w:hAnsi="楷体" w:eastAsia="楷体" w:cs="楷体"/>
          <w:b/>
          <w:kern w:val="0"/>
          <w:sz w:val="32"/>
          <w:szCs w:val="32"/>
          <w:highlight w:val="none"/>
          <w:shd w:val="clear" w:fill="FFFFFF"/>
        </w:rPr>
        <w:t>（一）部门职责</w:t>
      </w:r>
    </w:p>
    <w:p>
      <w:pPr>
        <w:keepNext w:val="0"/>
        <w:keepLines w:val="0"/>
        <w:widowControl/>
        <w:suppressLineNumbers w:val="0"/>
        <w:spacing w:line="600" w:lineRule="atLeast"/>
        <w:ind w:left="0" w:firstLine="640"/>
        <w:jc w:val="both"/>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1.</w:t>
      </w:r>
      <w:r>
        <w:rPr>
          <w:rFonts w:hint="eastAsia" w:ascii="仿宋" w:hAnsi="仿宋" w:eastAsia="仿宋" w:cs="仿宋"/>
          <w:kern w:val="0"/>
          <w:sz w:val="32"/>
          <w:szCs w:val="32"/>
          <w:highlight w:val="none"/>
        </w:rPr>
        <w:t>落实区委、区政府总体发展部署，参与制定鹿城区经济社会发展规划，服务鹿城区全域谋划总体发展思路；负责组织全区范围内城市发展战略研究；开展全区范围内规划公共政策研究，并制定具体实施意见。</w:t>
      </w:r>
    </w:p>
    <w:p>
      <w:pPr>
        <w:keepNext w:val="0"/>
        <w:keepLines w:val="0"/>
        <w:widowControl/>
        <w:suppressLineNumbers w:val="0"/>
        <w:spacing w:line="600" w:lineRule="atLeast"/>
        <w:ind w:left="0" w:firstLine="640"/>
        <w:jc w:val="both"/>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w:t>
      </w:r>
      <w:r>
        <w:rPr>
          <w:rFonts w:hint="eastAsia" w:ascii="仿宋" w:hAnsi="仿宋" w:eastAsia="仿宋" w:cs="仿宋"/>
          <w:kern w:val="0"/>
          <w:sz w:val="32"/>
          <w:szCs w:val="32"/>
          <w:highlight w:val="none"/>
        </w:rPr>
        <w:t>负责组织全区控制性详细规划、区域内各类村镇规划及各类相关专项规划的编制和修改工作。</w:t>
      </w:r>
    </w:p>
    <w:p>
      <w:pPr>
        <w:keepNext w:val="0"/>
        <w:keepLines w:val="0"/>
        <w:widowControl/>
        <w:suppressLineNumbers w:val="0"/>
        <w:spacing w:line="600" w:lineRule="atLeast"/>
        <w:ind w:left="0" w:firstLine="640"/>
        <w:jc w:val="both"/>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4.</w:t>
      </w:r>
      <w:r>
        <w:rPr>
          <w:rFonts w:hint="eastAsia" w:ascii="仿宋" w:hAnsi="仿宋" w:eastAsia="仿宋" w:cs="仿宋"/>
          <w:kern w:val="0"/>
          <w:sz w:val="32"/>
          <w:szCs w:val="32"/>
          <w:highlight w:val="none"/>
        </w:rPr>
        <w:t>参与全区重大项目的前期研究、规划方案征集、论证、比选及评审工作。</w:t>
      </w:r>
    </w:p>
    <w:p>
      <w:pPr>
        <w:keepNext w:val="0"/>
        <w:keepLines w:val="0"/>
        <w:widowControl/>
        <w:suppressLineNumbers w:val="0"/>
        <w:spacing w:line="600" w:lineRule="atLeast"/>
        <w:ind w:left="0" w:firstLine="640"/>
        <w:jc w:val="both"/>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5.</w:t>
      </w:r>
      <w:r>
        <w:rPr>
          <w:rFonts w:hint="eastAsia" w:ascii="仿宋" w:hAnsi="仿宋" w:eastAsia="仿宋" w:cs="仿宋"/>
          <w:kern w:val="0"/>
          <w:sz w:val="32"/>
          <w:szCs w:val="32"/>
          <w:highlight w:val="none"/>
        </w:rPr>
        <w:t>负责全区经营性地块出让前期规划研究工作，落实相应的控制性详细规划及城市设计要求。</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楷体" w:hAnsi="楷体" w:eastAsia="楷体" w:cs="楷体"/>
          <w:b/>
          <w:kern w:val="0"/>
          <w:sz w:val="32"/>
          <w:szCs w:val="32"/>
          <w:highlight w:val="none"/>
          <w:shd w:val="clear" w:fill="FFFFFF"/>
        </w:rPr>
        <w:t>（二）机构设置</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highlight w:val="none"/>
          <w:shd w:val="clear" w:fill="FFFFFF"/>
        </w:rPr>
      </w:pPr>
      <w:r>
        <w:rPr>
          <w:rFonts w:hint="eastAsia" w:ascii="仿宋" w:hAnsi="仿宋" w:eastAsia="仿宋" w:cs="仿宋"/>
          <w:kern w:val="0"/>
          <w:sz w:val="32"/>
          <w:szCs w:val="32"/>
          <w:highlight w:val="none"/>
          <w:shd w:val="clear" w:fill="FFFFFF"/>
        </w:rPr>
        <w:t>从预算单位构成看，温州市鹿城区规划编研中心部门决算包括：局本级决算。</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highlight w:val="none"/>
          <w:shd w:val="clear" w:fill="FFFFFF"/>
        </w:rPr>
      </w:pPr>
      <w:r>
        <w:rPr>
          <w:rFonts w:hint="eastAsia" w:ascii="仿宋" w:hAnsi="仿宋" w:eastAsia="仿宋" w:cs="仿宋"/>
          <w:kern w:val="0"/>
          <w:sz w:val="32"/>
          <w:szCs w:val="32"/>
          <w:highlight w:val="none"/>
          <w:shd w:val="clear" w:fill="FFFFFF"/>
        </w:rPr>
        <w:t>纳入温州市鹿城区规划编研中心</w:t>
      </w:r>
      <w:r>
        <w:rPr>
          <w:rFonts w:hint="eastAsia" w:ascii="仿宋" w:hAnsi="仿宋" w:eastAsia="仿宋" w:cs="Arial"/>
          <w:kern w:val="0"/>
          <w:sz w:val="32"/>
          <w:szCs w:val="32"/>
          <w:highlight w:val="none"/>
          <w:shd w:val="clear" w:fill="FFFFFF"/>
        </w:rPr>
        <w:t>2019年度部门决算编制范围的二级预算单位包括：</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highlight w:val="none"/>
          <w:shd w:val="clear" w:fill="FFFFFF"/>
        </w:rPr>
      </w:pPr>
      <w:r>
        <w:rPr>
          <w:rFonts w:hint="eastAsia" w:ascii="仿宋" w:hAnsi="仿宋" w:eastAsia="仿宋" w:cs="仿宋"/>
          <w:kern w:val="0"/>
          <w:sz w:val="32"/>
          <w:szCs w:val="32"/>
          <w:highlight w:val="none"/>
          <w:shd w:val="clear" w:fill="FFFFFF"/>
        </w:rPr>
        <w:t>无。</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黑体" w:hAnsi="宋体" w:eastAsia="黑体" w:cs="黑体"/>
          <w:b/>
          <w:kern w:val="0"/>
          <w:sz w:val="32"/>
          <w:szCs w:val="32"/>
          <w:highlight w:val="none"/>
          <w:shd w:val="clear" w:fill="FFFFFF"/>
        </w:rPr>
        <w:t>二、温州市鹿城区规划编研中心</w:t>
      </w:r>
      <w:r>
        <w:rPr>
          <w:rStyle w:val="5"/>
          <w:rFonts w:hint="eastAsia" w:ascii="黑体" w:hAnsi="宋体" w:eastAsia="黑体" w:cs="Arial"/>
          <w:b/>
          <w:kern w:val="0"/>
          <w:sz w:val="32"/>
          <w:szCs w:val="32"/>
          <w:highlight w:val="none"/>
          <w:shd w:val="clear" w:fill="FFFFFF"/>
        </w:rPr>
        <w:t>2019年度部门决算公开表</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仿宋"/>
          <w:kern w:val="0"/>
          <w:sz w:val="32"/>
          <w:szCs w:val="32"/>
          <w:highlight w:val="none"/>
          <w:shd w:val="clear" w:fill="FFFFFF"/>
        </w:rPr>
        <w:t>详见附表。</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黑体" w:hAnsi="宋体" w:eastAsia="黑体" w:cs="黑体"/>
          <w:b/>
          <w:kern w:val="0"/>
          <w:sz w:val="32"/>
          <w:szCs w:val="32"/>
          <w:highlight w:val="none"/>
          <w:shd w:val="clear" w:fill="FFFFFF"/>
        </w:rPr>
        <w:t>三、温州市鹿城区规划编研中心</w:t>
      </w:r>
      <w:r>
        <w:rPr>
          <w:rStyle w:val="5"/>
          <w:rFonts w:hint="eastAsia" w:ascii="黑体" w:hAnsi="宋体" w:eastAsia="黑体" w:cs="Arial"/>
          <w:b/>
          <w:kern w:val="0"/>
          <w:sz w:val="32"/>
          <w:szCs w:val="32"/>
          <w:highlight w:val="none"/>
          <w:shd w:val="clear" w:fill="FFFFFF"/>
        </w:rPr>
        <w:t>2019年度部门决算情况说明</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楷体" w:hAnsi="楷体" w:eastAsia="楷体" w:cs="楷体"/>
          <w:b/>
          <w:kern w:val="0"/>
          <w:sz w:val="32"/>
          <w:szCs w:val="32"/>
          <w:highlight w:val="none"/>
          <w:shd w:val="clear" w:fill="FFFFFF"/>
        </w:rPr>
        <w:t>（一）收入支出决算总体情况说明</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highlight w:val="none"/>
          <w:shd w:val="clear" w:fill="FFFFFF"/>
        </w:rPr>
      </w:pPr>
      <w:r>
        <w:rPr>
          <w:rFonts w:hint="eastAsia" w:ascii="仿宋" w:hAnsi="仿宋" w:eastAsia="仿宋" w:cs="Arial"/>
          <w:kern w:val="0"/>
          <w:sz w:val="32"/>
          <w:szCs w:val="32"/>
          <w:highlight w:val="none"/>
          <w:shd w:val="clear" w:fill="FFFFFF"/>
        </w:rPr>
        <w:t>2019年度收、支总计586.66万元，与2018年度相比，收、支总计各增加223.91</w:t>
      </w:r>
      <w:r>
        <w:rPr>
          <w:rFonts w:hint="eastAsia" w:ascii="仿宋" w:hAnsi="仿宋" w:eastAsia="仿宋" w:cs="仿宋"/>
          <w:kern w:val="0"/>
          <w:sz w:val="32"/>
          <w:szCs w:val="32"/>
          <w:highlight w:val="none"/>
          <w:shd w:val="clear" w:fill="FFFFFF"/>
        </w:rPr>
        <w:t>万元，增长</w:t>
      </w:r>
      <w:r>
        <w:rPr>
          <w:rFonts w:hint="eastAsia" w:ascii="仿宋" w:hAnsi="仿宋" w:eastAsia="仿宋" w:cs="Arial"/>
          <w:kern w:val="0"/>
          <w:sz w:val="32"/>
          <w:szCs w:val="32"/>
          <w:highlight w:val="none"/>
          <w:shd w:val="clear" w:fill="FFFFFF"/>
        </w:rPr>
        <w:t>61.73%。主要原因是：</w:t>
      </w:r>
      <w:r>
        <w:rPr>
          <w:rFonts w:hint="eastAsia" w:ascii="仿宋" w:hAnsi="仿宋" w:eastAsia="仿宋" w:cs="仿宋"/>
          <w:kern w:val="0"/>
          <w:sz w:val="32"/>
          <w:szCs w:val="32"/>
          <w:highlight w:val="none"/>
          <w:shd w:val="clear" w:fill="FFFFFF"/>
        </w:rPr>
        <w:t>根据区委区政府工作部署及全区</w:t>
      </w:r>
      <w:r>
        <w:rPr>
          <w:rFonts w:hint="eastAsia" w:ascii="仿宋" w:hAnsi="仿宋" w:eastAsia="仿宋" w:cs="仿宋"/>
          <w:kern w:val="0"/>
          <w:sz w:val="32"/>
          <w:szCs w:val="32"/>
          <w:highlight w:val="none"/>
          <w:shd w:val="clear" w:fill="FFFFFF"/>
          <w:lang w:eastAsia="zh-CN"/>
        </w:rPr>
        <w:t>做出</w:t>
      </w:r>
      <w:r>
        <w:rPr>
          <w:rFonts w:hint="eastAsia" w:ascii="仿宋" w:hAnsi="仿宋" w:eastAsia="仿宋" w:cs="仿宋"/>
          <w:kern w:val="0"/>
          <w:sz w:val="32"/>
          <w:szCs w:val="32"/>
          <w:highlight w:val="none"/>
          <w:shd w:val="clear" w:fill="FFFFFF"/>
        </w:rPr>
        <w:t>让计划安排，及时调整规划编制工作，2019年增加黄龙商贸城街坊（未来社区）、山福镇中心镇区临江片区、南门单元（E-02、E-24、E-30~E-32地块）（大南隔岸垟地块）、双岙单元A-03至A-16等地块、南浦单元</w:t>
      </w:r>
      <w:r>
        <w:rPr>
          <w:rFonts w:hint="eastAsia" w:ascii="仿宋" w:hAnsi="仿宋" w:eastAsia="仿宋" w:cs="仿宋"/>
          <w:kern w:val="0"/>
          <w:sz w:val="32"/>
          <w:szCs w:val="32"/>
          <w:highlight w:val="none"/>
          <w:shd w:val="clear" w:fill="FFFFFF"/>
          <w:lang w:eastAsia="zh-CN"/>
        </w:rPr>
        <w:t>鱼</w:t>
      </w:r>
      <w:r>
        <w:rPr>
          <w:rFonts w:hint="eastAsia" w:ascii="仿宋" w:hAnsi="仿宋" w:eastAsia="仿宋" w:cs="仿宋"/>
          <w:kern w:val="0"/>
          <w:sz w:val="32"/>
          <w:szCs w:val="32"/>
          <w:highlight w:val="none"/>
          <w:shd w:val="clear" w:fill="FFFFFF"/>
        </w:rPr>
        <w:t>鳞浃等控规编制（修改）和鹿城区做地规划研究等项目收支。</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楷体" w:hAnsi="楷体" w:eastAsia="楷体" w:cs="楷体"/>
          <w:b/>
          <w:kern w:val="0"/>
          <w:sz w:val="32"/>
          <w:szCs w:val="32"/>
          <w:highlight w:val="none"/>
          <w:shd w:val="clear" w:fill="FFFFFF"/>
        </w:rPr>
        <w:t>（二）收入决算情况说明</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仿宋"/>
          <w:kern w:val="0"/>
          <w:sz w:val="32"/>
          <w:szCs w:val="32"/>
          <w:highlight w:val="none"/>
          <w:shd w:val="clear" w:fill="FFFFFF"/>
        </w:rPr>
        <w:t>本年收入合计</w:t>
      </w:r>
      <w:r>
        <w:rPr>
          <w:rFonts w:hint="eastAsia" w:ascii="仿宋" w:hAnsi="仿宋" w:eastAsia="仿宋" w:cs="Arial"/>
          <w:kern w:val="0"/>
          <w:sz w:val="32"/>
          <w:szCs w:val="32"/>
          <w:highlight w:val="none"/>
          <w:shd w:val="clear" w:fill="FFFFFF"/>
        </w:rPr>
        <w:t>567.98万元；包括财政拨款收入567.98万元（其中，一般公共预算567.98万元，政府性基金预算0万元），占收入合计100.00%；上级补助收入0万元，占收入合计0%；事业收入0万元，占收入合计0%；经营收入0万元，占收入合计0%。附属单位上缴收入0万元，占收入合计0%。其他收入0万元，占收入合计0%。</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楷体" w:hAnsi="楷体" w:eastAsia="楷体" w:cs="楷体"/>
          <w:b/>
          <w:kern w:val="0"/>
          <w:sz w:val="32"/>
          <w:szCs w:val="32"/>
          <w:highlight w:val="none"/>
          <w:shd w:val="clear" w:fill="FFFFFF"/>
        </w:rPr>
        <w:t>（三）支出决算情况说明</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仿宋"/>
          <w:kern w:val="0"/>
          <w:sz w:val="32"/>
          <w:szCs w:val="32"/>
          <w:highlight w:val="none"/>
          <w:shd w:val="clear" w:fill="FFFFFF"/>
        </w:rPr>
        <w:t>本年支出合计</w:t>
      </w:r>
      <w:r>
        <w:rPr>
          <w:rFonts w:hint="eastAsia" w:ascii="仿宋" w:hAnsi="仿宋" w:eastAsia="仿宋" w:cs="Arial"/>
          <w:kern w:val="0"/>
          <w:sz w:val="32"/>
          <w:szCs w:val="32"/>
          <w:highlight w:val="none"/>
          <w:shd w:val="clear" w:fill="FFFFFF"/>
        </w:rPr>
        <w:t>567.98万元，其中基本支出237.17万元，占41.76%；项目支出330.81万元，占58.24%；上缴上级支出0万元，占0%；经营支出0万元，占0%；对附属单位补助支出0万元，占0%。</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楷体" w:hAnsi="楷体" w:eastAsia="楷体" w:cs="楷体"/>
          <w:b/>
          <w:kern w:val="0"/>
          <w:sz w:val="32"/>
          <w:szCs w:val="32"/>
          <w:highlight w:val="none"/>
          <w:shd w:val="clear" w:fill="FFFFFF"/>
        </w:rPr>
        <w:t>（四）财政拨款收入支出决算总体情况说明</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highlight w:val="none"/>
          <w:shd w:val="clear" w:fill="FFFFFF"/>
        </w:rPr>
      </w:pPr>
      <w:r>
        <w:rPr>
          <w:rFonts w:hint="eastAsia" w:ascii="仿宋" w:hAnsi="仿宋" w:eastAsia="仿宋" w:cs="Arial"/>
          <w:kern w:val="0"/>
          <w:sz w:val="32"/>
          <w:szCs w:val="32"/>
          <w:highlight w:val="none"/>
          <w:shd w:val="clear" w:fill="FFFFFF"/>
        </w:rPr>
        <w:t>2019年度财政拨款收、支总计584.73万元，与2018年相比，财政拨款收、支总计各增加223.91</w:t>
      </w:r>
      <w:r>
        <w:rPr>
          <w:rFonts w:hint="eastAsia" w:ascii="仿宋" w:hAnsi="仿宋" w:eastAsia="仿宋" w:cs="仿宋"/>
          <w:kern w:val="0"/>
          <w:sz w:val="32"/>
          <w:szCs w:val="32"/>
          <w:highlight w:val="none"/>
          <w:shd w:val="clear" w:fill="FFFFFF"/>
        </w:rPr>
        <w:t>万元，增长</w:t>
      </w:r>
      <w:r>
        <w:rPr>
          <w:rFonts w:hint="eastAsia" w:ascii="仿宋" w:hAnsi="仿宋" w:eastAsia="仿宋" w:cs="Arial"/>
          <w:kern w:val="0"/>
          <w:sz w:val="32"/>
          <w:szCs w:val="32"/>
          <w:highlight w:val="none"/>
          <w:shd w:val="clear" w:fill="FFFFFF"/>
        </w:rPr>
        <w:t>62.06%。</w:t>
      </w:r>
      <w:r>
        <w:rPr>
          <w:rFonts w:hint="eastAsia" w:ascii="仿宋" w:hAnsi="仿宋" w:eastAsia="仿宋" w:cs="仿宋"/>
          <w:kern w:val="0"/>
          <w:sz w:val="32"/>
          <w:szCs w:val="32"/>
          <w:highlight w:val="none"/>
          <w:shd w:val="clear" w:fill="FFFFFF"/>
        </w:rPr>
        <w:t>主要原因是：根据区委区政府工作部署及全区</w:t>
      </w:r>
      <w:r>
        <w:rPr>
          <w:rFonts w:hint="eastAsia" w:ascii="仿宋" w:hAnsi="仿宋" w:eastAsia="仿宋" w:cs="仿宋"/>
          <w:kern w:val="0"/>
          <w:sz w:val="32"/>
          <w:szCs w:val="32"/>
          <w:highlight w:val="none"/>
          <w:shd w:val="clear" w:fill="FFFFFF"/>
          <w:lang w:eastAsia="zh-CN"/>
        </w:rPr>
        <w:t>做出</w:t>
      </w:r>
      <w:r>
        <w:rPr>
          <w:rFonts w:hint="eastAsia" w:ascii="仿宋" w:hAnsi="仿宋" w:eastAsia="仿宋" w:cs="仿宋"/>
          <w:kern w:val="0"/>
          <w:sz w:val="32"/>
          <w:szCs w:val="32"/>
          <w:highlight w:val="none"/>
          <w:shd w:val="clear" w:fill="FFFFFF"/>
        </w:rPr>
        <w:t>让计划安排，及时调整规划编制工作，2019年增加黄龙商贸城街坊（未来社区）、山福镇中心镇区临江片区、南门单元（E-02、E-24、E-30~E-32地块）（大南隔岸垟地块）、双岙单元A-03至A-16等地块、南浦单元</w:t>
      </w:r>
      <w:r>
        <w:rPr>
          <w:rFonts w:hint="eastAsia" w:ascii="仿宋" w:hAnsi="仿宋" w:eastAsia="仿宋" w:cs="仿宋"/>
          <w:kern w:val="0"/>
          <w:sz w:val="32"/>
          <w:szCs w:val="32"/>
          <w:highlight w:val="none"/>
          <w:shd w:val="clear" w:fill="FFFFFF"/>
          <w:lang w:eastAsia="zh-CN"/>
        </w:rPr>
        <w:t>鱼</w:t>
      </w:r>
      <w:r>
        <w:rPr>
          <w:rFonts w:hint="eastAsia" w:ascii="仿宋" w:hAnsi="仿宋" w:eastAsia="仿宋" w:cs="仿宋"/>
          <w:kern w:val="0"/>
          <w:sz w:val="32"/>
          <w:szCs w:val="32"/>
          <w:highlight w:val="none"/>
          <w:shd w:val="clear" w:fill="FFFFFF"/>
        </w:rPr>
        <w:t>鳞浃等控规编制（修改）和鹿城区做地规划研究等项目收支。</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楷体" w:hAnsi="楷体" w:eastAsia="楷体" w:cs="楷体"/>
          <w:b/>
          <w:kern w:val="0"/>
          <w:sz w:val="32"/>
          <w:szCs w:val="32"/>
          <w:highlight w:val="none"/>
          <w:shd w:val="clear" w:fill="FFFFFF"/>
        </w:rPr>
        <w:t>（五）一般公共预算财政拨款支出决算情况说明</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仿宋" w:hAnsi="仿宋" w:eastAsia="仿宋" w:cs="Arial"/>
          <w:b/>
          <w:kern w:val="0"/>
          <w:sz w:val="32"/>
          <w:szCs w:val="32"/>
          <w:highlight w:val="none"/>
          <w:shd w:val="clear" w:fill="FFFFFF"/>
        </w:rPr>
        <w:t>1.一般公共预算财政拨款支出决算总体情况。</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Arial"/>
          <w:kern w:val="0"/>
          <w:sz w:val="32"/>
          <w:szCs w:val="32"/>
          <w:highlight w:val="none"/>
          <w:shd w:val="clear" w:fill="FFFFFF"/>
        </w:rPr>
        <w:t>2019年度一般公共预算财政拨款支出567.98万元，占本年支出合计的100.00%。与2018年相比，一般公共预算财政拨款支出增加223.91</w:t>
      </w:r>
      <w:r>
        <w:rPr>
          <w:rFonts w:hint="eastAsia" w:ascii="仿宋" w:hAnsi="仿宋" w:eastAsia="仿宋" w:cs="仿宋"/>
          <w:kern w:val="0"/>
          <w:sz w:val="32"/>
          <w:szCs w:val="32"/>
          <w:highlight w:val="none"/>
          <w:shd w:val="clear" w:fill="FFFFFF"/>
        </w:rPr>
        <w:t>万元，增长</w:t>
      </w:r>
      <w:r>
        <w:rPr>
          <w:rFonts w:hint="eastAsia" w:ascii="仿宋" w:hAnsi="仿宋" w:eastAsia="仿宋" w:cs="Arial"/>
          <w:kern w:val="0"/>
          <w:sz w:val="32"/>
          <w:szCs w:val="32"/>
          <w:highlight w:val="none"/>
          <w:shd w:val="clear" w:fill="FFFFFF"/>
        </w:rPr>
        <w:t>65.08%。主要原因是：</w:t>
      </w:r>
      <w:r>
        <w:rPr>
          <w:rFonts w:hint="eastAsia" w:ascii="仿宋" w:hAnsi="仿宋" w:eastAsia="仿宋" w:cs="仿宋"/>
          <w:kern w:val="0"/>
          <w:sz w:val="32"/>
          <w:szCs w:val="32"/>
          <w:highlight w:val="none"/>
          <w:shd w:val="clear" w:fill="FFFFFF"/>
        </w:rPr>
        <w:t>根据区委区政府工作部署及全区</w:t>
      </w:r>
      <w:r>
        <w:rPr>
          <w:rFonts w:hint="eastAsia" w:ascii="仿宋" w:hAnsi="仿宋" w:eastAsia="仿宋" w:cs="仿宋"/>
          <w:kern w:val="0"/>
          <w:sz w:val="32"/>
          <w:szCs w:val="32"/>
          <w:highlight w:val="none"/>
          <w:shd w:val="clear" w:fill="FFFFFF"/>
          <w:lang w:eastAsia="zh-CN"/>
        </w:rPr>
        <w:t>做出</w:t>
      </w:r>
      <w:r>
        <w:rPr>
          <w:rFonts w:hint="eastAsia" w:ascii="仿宋" w:hAnsi="仿宋" w:eastAsia="仿宋" w:cs="仿宋"/>
          <w:kern w:val="0"/>
          <w:sz w:val="32"/>
          <w:szCs w:val="32"/>
          <w:highlight w:val="none"/>
          <w:shd w:val="clear" w:fill="FFFFFF"/>
        </w:rPr>
        <w:t>让计划安排，及时调整规划编制工作，2019年增加黄龙商贸城街坊（未来社区）、山福镇中心镇区临江片区、南门单元（E-02、E-24、E-30~E-32地块）（大南隔岸垟地块）、双岙单元A-03至A-16等地块、南浦单元</w:t>
      </w:r>
      <w:r>
        <w:rPr>
          <w:rFonts w:hint="eastAsia" w:ascii="仿宋" w:hAnsi="仿宋" w:eastAsia="仿宋" w:cs="仿宋"/>
          <w:kern w:val="0"/>
          <w:sz w:val="32"/>
          <w:szCs w:val="32"/>
          <w:highlight w:val="none"/>
          <w:shd w:val="clear" w:fill="FFFFFF"/>
          <w:lang w:eastAsia="zh-CN"/>
        </w:rPr>
        <w:t>鱼</w:t>
      </w:r>
      <w:r>
        <w:rPr>
          <w:rFonts w:hint="eastAsia" w:ascii="仿宋" w:hAnsi="仿宋" w:eastAsia="仿宋" w:cs="仿宋"/>
          <w:kern w:val="0"/>
          <w:sz w:val="32"/>
          <w:szCs w:val="32"/>
          <w:highlight w:val="none"/>
          <w:shd w:val="clear" w:fill="FFFFFF"/>
        </w:rPr>
        <w:t>鳞浃等控规编制（修改）和鹿城区做地规划研究等项目收支。</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仿宋" w:hAnsi="仿宋" w:eastAsia="仿宋" w:cs="Arial"/>
          <w:b/>
          <w:kern w:val="0"/>
          <w:sz w:val="32"/>
          <w:szCs w:val="32"/>
          <w:highlight w:val="none"/>
          <w:shd w:val="clear" w:fill="FFFFFF"/>
        </w:rPr>
        <w:t>2.一般公共预算财政拨款支出决算结构情况。</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Arial"/>
          <w:kern w:val="0"/>
          <w:sz w:val="32"/>
          <w:szCs w:val="32"/>
          <w:highlight w:val="none"/>
          <w:shd w:val="clear" w:fill="FFFFFF"/>
        </w:rPr>
        <w:t>2019年度一般公共预算财政拨款支出567.98万元，主要用于以下方面：一般公共服务（类）支出0万元，占0%；国防（类）支出0万元,占0%；公共安全（类）支出0万元,占0%；教育（类）支出0万元,占0%；科学技术（类）支出0万元,占0%；文化旅游体育与传媒（类）支出0万元,占0%；社会保障和就业（类）支出24.22万元,占4.26%；卫生健康（类）支出8.41万元,占1.48%；节能环保（类）支出0万元,占0%；城乡社区（类）支出523.76万元,占92.21%；农林水（类）支出0万元,占0%；交通运输（类）支出0万元,占0%；资源勘探信息等（类）支出0万元,占0%；商业服务业等（类）支出0万元,占0%；金融（类）支出0万元,占0%；援助其他地区（类）支出0万元,占0%；自然资源海洋气象等（类）支出0万元,占0%；住房保障（类）支出11.59万元,占2.0</w:t>
      </w:r>
      <w:r>
        <w:rPr>
          <w:rFonts w:hint="eastAsia" w:ascii="仿宋" w:hAnsi="仿宋" w:eastAsia="仿宋" w:cs="Arial"/>
          <w:kern w:val="0"/>
          <w:sz w:val="32"/>
          <w:szCs w:val="32"/>
          <w:highlight w:val="none"/>
          <w:shd w:val="clear" w:fill="FFFFFF"/>
          <w:lang w:val="en-US" w:eastAsia="zh-CN"/>
        </w:rPr>
        <w:t>5</w:t>
      </w:r>
      <w:r>
        <w:rPr>
          <w:rFonts w:hint="eastAsia" w:ascii="仿宋" w:hAnsi="仿宋" w:eastAsia="仿宋" w:cs="Arial"/>
          <w:kern w:val="0"/>
          <w:sz w:val="32"/>
          <w:szCs w:val="32"/>
          <w:highlight w:val="none"/>
          <w:shd w:val="clear" w:fill="FFFFFF"/>
        </w:rPr>
        <w:t>%；粮油物资储备（类）支出0万元,占0%；灾害防治及应急管理（类）支出0万元，占0%；其他（类）支出0万元,占0%；债务还本（类）支出0万元,占0%；债务付息（类）支出0万元,占0%。</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仿宋" w:hAnsi="仿宋" w:eastAsia="仿宋" w:cs="Arial"/>
          <w:b/>
          <w:kern w:val="0"/>
          <w:sz w:val="32"/>
          <w:szCs w:val="32"/>
          <w:highlight w:val="none"/>
          <w:shd w:val="clear" w:fill="FFFFFF"/>
        </w:rPr>
        <w:t>3.一般公共预算财政拨款支出决算具体情况。</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Arial"/>
          <w:kern w:val="0"/>
          <w:sz w:val="32"/>
          <w:szCs w:val="32"/>
          <w:highlight w:val="none"/>
          <w:shd w:val="clear" w:fill="FFFFFF"/>
        </w:rPr>
        <w:t>2019年度一般公共预算财政拨款支出年初预算为407.79</w:t>
      </w:r>
      <w:r>
        <w:rPr>
          <w:rFonts w:hint="eastAsia" w:ascii="仿宋" w:hAnsi="仿宋" w:eastAsia="仿宋" w:cs="仿宋"/>
          <w:kern w:val="0"/>
          <w:sz w:val="32"/>
          <w:szCs w:val="32"/>
          <w:highlight w:val="none"/>
          <w:shd w:val="clear" w:fill="FFFFFF"/>
        </w:rPr>
        <w:t>万元，支出决算为</w:t>
      </w:r>
      <w:r>
        <w:rPr>
          <w:rFonts w:hint="eastAsia" w:ascii="仿宋" w:hAnsi="仿宋" w:eastAsia="仿宋" w:cs="Arial"/>
          <w:kern w:val="0"/>
          <w:sz w:val="32"/>
          <w:szCs w:val="32"/>
          <w:highlight w:val="none"/>
          <w:shd w:val="clear" w:fill="FFFFFF"/>
        </w:rPr>
        <w:t>567.98万元,完成年初预算的139.28%，</w:t>
      </w:r>
      <w:r>
        <w:rPr>
          <w:rFonts w:hint="eastAsia" w:ascii="仿宋" w:hAnsi="仿宋" w:eastAsia="仿宋" w:cs="仿宋"/>
          <w:kern w:val="0"/>
          <w:sz w:val="32"/>
          <w:szCs w:val="32"/>
          <w:highlight w:val="none"/>
        </w:rPr>
        <w:t>主要原因是</w:t>
      </w:r>
      <w:r>
        <w:rPr>
          <w:rFonts w:hint="eastAsia" w:ascii="仿宋" w:hAnsi="仿宋" w:eastAsia="仿宋" w:cs="仿宋"/>
          <w:kern w:val="0"/>
          <w:sz w:val="32"/>
          <w:szCs w:val="32"/>
          <w:highlight w:val="none"/>
          <w:lang w:val="en-US" w:eastAsia="zh-CN"/>
        </w:rPr>
        <w:t>2019年度</w:t>
      </w:r>
      <w:r>
        <w:rPr>
          <w:rFonts w:hint="eastAsia" w:ascii="仿宋" w:hAnsi="仿宋" w:eastAsia="仿宋" w:cs="仿宋"/>
          <w:kern w:val="0"/>
          <w:sz w:val="32"/>
          <w:szCs w:val="32"/>
          <w:highlight w:val="none"/>
          <w:lang w:eastAsia="zh-CN"/>
        </w:rPr>
        <w:t>规划编制工作事项增加，如</w:t>
      </w:r>
      <w:r>
        <w:rPr>
          <w:rFonts w:hint="eastAsia" w:ascii="仿宋" w:hAnsi="仿宋" w:eastAsia="仿宋" w:cs="仿宋"/>
          <w:kern w:val="0"/>
          <w:sz w:val="32"/>
          <w:szCs w:val="32"/>
          <w:highlight w:val="none"/>
          <w:shd w:val="clear" w:fill="FFFFFF"/>
        </w:rPr>
        <w:t>增加黄龙商贸城街坊、大南隔岸垟地块</w:t>
      </w:r>
      <w:r>
        <w:rPr>
          <w:rFonts w:hint="eastAsia" w:ascii="仿宋" w:hAnsi="仿宋" w:eastAsia="仿宋" w:cs="仿宋"/>
          <w:kern w:val="0"/>
          <w:sz w:val="32"/>
          <w:szCs w:val="32"/>
          <w:highlight w:val="none"/>
          <w:shd w:val="clear" w:fill="FFFFFF"/>
          <w:lang w:eastAsia="zh-CN"/>
        </w:rPr>
        <w:t>等控规编制（修改）</w:t>
      </w:r>
      <w:r>
        <w:rPr>
          <w:rFonts w:hint="eastAsia" w:ascii="仿宋" w:hAnsi="仿宋" w:eastAsia="仿宋" w:cs="仿宋"/>
          <w:kern w:val="0"/>
          <w:sz w:val="32"/>
          <w:szCs w:val="32"/>
          <w:highlight w:val="none"/>
          <w:shd w:val="clear" w:fill="FFFFFF"/>
        </w:rPr>
        <w:t>和鹿城区做地规划研究等项目支出</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shd w:val="clear" w:fill="FFFFFF"/>
        </w:rPr>
        <w:t>其中：</w:t>
      </w:r>
    </w:p>
    <w:p>
      <w:pPr>
        <w:keepNext w:val="0"/>
        <w:keepLines w:val="0"/>
        <w:widowControl/>
        <w:suppressLineNumbers w:val="0"/>
        <w:spacing w:line="600" w:lineRule="atLeast"/>
        <w:ind w:left="0" w:firstLine="640"/>
        <w:jc w:val="both"/>
        <w:rPr>
          <w:rFonts w:hint="eastAsia" w:ascii="仿宋" w:hAnsi="仿宋" w:eastAsia="仿宋" w:cs="Arial"/>
          <w:kern w:val="0"/>
          <w:sz w:val="32"/>
          <w:szCs w:val="32"/>
          <w:highlight w:val="none"/>
        </w:rPr>
      </w:pPr>
      <w:r>
        <w:rPr>
          <w:rFonts w:hint="eastAsia" w:ascii="仿宋" w:hAnsi="仿宋" w:eastAsia="仿宋" w:cs="仿宋"/>
          <w:kern w:val="0"/>
          <w:sz w:val="32"/>
          <w:szCs w:val="32"/>
          <w:highlight w:val="none"/>
        </w:rPr>
        <w:t>社会保障和就业支出（类）行政事业单位离退休（款）机关事业单位基本养老保险缴费支出（项）。</w:t>
      </w:r>
      <w:r>
        <w:rPr>
          <w:rFonts w:hint="eastAsia" w:ascii="仿宋" w:hAnsi="仿宋" w:eastAsia="仿宋" w:cs="Arial"/>
          <w:kern w:val="0"/>
          <w:sz w:val="32"/>
          <w:szCs w:val="32"/>
          <w:highlight w:val="none"/>
        </w:rPr>
        <w:t>2019</w:t>
      </w:r>
      <w:r>
        <w:rPr>
          <w:rFonts w:hint="eastAsia" w:ascii="仿宋" w:hAnsi="仿宋" w:eastAsia="仿宋" w:cs="仿宋"/>
          <w:kern w:val="0"/>
          <w:sz w:val="32"/>
          <w:szCs w:val="32"/>
          <w:highlight w:val="none"/>
        </w:rPr>
        <w:t>年年初预算为</w:t>
      </w:r>
      <w:r>
        <w:rPr>
          <w:rFonts w:hint="eastAsia" w:ascii="仿宋" w:hAnsi="仿宋" w:eastAsia="仿宋" w:cs="Arial"/>
          <w:kern w:val="0"/>
          <w:sz w:val="32"/>
          <w:szCs w:val="32"/>
          <w:highlight w:val="none"/>
        </w:rPr>
        <w:t>18.70</w:t>
      </w:r>
      <w:r>
        <w:rPr>
          <w:rFonts w:hint="eastAsia" w:ascii="仿宋" w:hAnsi="仿宋" w:eastAsia="仿宋" w:cs="仿宋"/>
          <w:kern w:val="0"/>
          <w:sz w:val="32"/>
          <w:szCs w:val="32"/>
          <w:highlight w:val="none"/>
        </w:rPr>
        <w:t>万元，</w:t>
      </w:r>
      <w:r>
        <w:rPr>
          <w:rFonts w:hint="eastAsia" w:ascii="仿宋" w:hAnsi="仿宋" w:eastAsia="仿宋" w:cs="Arial"/>
          <w:kern w:val="0"/>
          <w:sz w:val="32"/>
          <w:szCs w:val="32"/>
          <w:highlight w:val="none"/>
        </w:rPr>
        <w:t>2019</w:t>
      </w:r>
      <w:r>
        <w:rPr>
          <w:rFonts w:hint="eastAsia" w:ascii="仿宋" w:hAnsi="仿宋" w:eastAsia="仿宋" w:cs="仿宋"/>
          <w:kern w:val="0"/>
          <w:sz w:val="32"/>
          <w:szCs w:val="32"/>
          <w:highlight w:val="none"/>
        </w:rPr>
        <w:t>年支出决算为</w:t>
      </w:r>
      <w:r>
        <w:rPr>
          <w:rFonts w:hint="eastAsia" w:ascii="仿宋" w:hAnsi="仿宋" w:eastAsia="仿宋" w:cs="Arial"/>
          <w:kern w:val="0"/>
          <w:sz w:val="32"/>
          <w:szCs w:val="32"/>
          <w:highlight w:val="none"/>
        </w:rPr>
        <w:t>16.74</w:t>
      </w:r>
      <w:r>
        <w:rPr>
          <w:rFonts w:hint="eastAsia" w:ascii="仿宋" w:hAnsi="仿宋" w:eastAsia="仿宋" w:cs="仿宋"/>
          <w:kern w:val="0"/>
          <w:sz w:val="32"/>
          <w:szCs w:val="32"/>
          <w:highlight w:val="none"/>
        </w:rPr>
        <w:t>万元，完成年初预算的</w:t>
      </w:r>
      <w:r>
        <w:rPr>
          <w:rFonts w:hint="eastAsia" w:ascii="仿宋" w:hAnsi="仿宋" w:eastAsia="仿宋" w:cs="Arial"/>
          <w:kern w:val="0"/>
          <w:sz w:val="32"/>
          <w:szCs w:val="32"/>
          <w:highlight w:val="none"/>
        </w:rPr>
        <w:t>89.52%</w:t>
      </w:r>
      <w:r>
        <w:rPr>
          <w:rFonts w:hint="eastAsia" w:ascii="仿宋" w:hAnsi="仿宋" w:eastAsia="仿宋" w:cs="仿宋"/>
          <w:kern w:val="0"/>
          <w:sz w:val="32"/>
          <w:szCs w:val="32"/>
          <w:highlight w:val="none"/>
        </w:rPr>
        <w:t>，决算数小于预算数的主要原因是2019年度人员增减变动。</w:t>
      </w:r>
    </w:p>
    <w:p>
      <w:pPr>
        <w:keepNext w:val="0"/>
        <w:keepLines w:val="0"/>
        <w:widowControl/>
        <w:suppressLineNumbers w:val="0"/>
        <w:spacing w:line="600" w:lineRule="atLeast"/>
        <w:ind w:left="0" w:firstLine="640"/>
        <w:jc w:val="both"/>
        <w:rPr>
          <w:rFonts w:hint="eastAsia" w:ascii="仿宋" w:hAnsi="仿宋" w:eastAsia="仿宋" w:cs="Arial"/>
          <w:kern w:val="0"/>
          <w:sz w:val="32"/>
          <w:szCs w:val="32"/>
          <w:highlight w:val="none"/>
          <w:lang w:eastAsia="zh-CN"/>
        </w:rPr>
      </w:pPr>
      <w:r>
        <w:rPr>
          <w:rFonts w:hint="eastAsia" w:ascii="仿宋" w:hAnsi="仿宋" w:eastAsia="仿宋" w:cs="仿宋"/>
          <w:kern w:val="0"/>
          <w:sz w:val="32"/>
          <w:szCs w:val="32"/>
          <w:highlight w:val="none"/>
        </w:rPr>
        <w:t>社会保障和就业支出（类）行政事业单位离退休（款）机关事业单位职业年金缴费支出（项）。</w:t>
      </w:r>
      <w:r>
        <w:rPr>
          <w:rFonts w:hint="eastAsia" w:ascii="仿宋" w:hAnsi="仿宋" w:eastAsia="仿宋" w:cs="Arial"/>
          <w:kern w:val="0"/>
          <w:sz w:val="32"/>
          <w:szCs w:val="32"/>
          <w:highlight w:val="none"/>
        </w:rPr>
        <w:t>2019年</w:t>
      </w:r>
      <w:r>
        <w:rPr>
          <w:rFonts w:hint="eastAsia" w:ascii="仿宋" w:hAnsi="仿宋" w:eastAsia="仿宋" w:cs="仿宋"/>
          <w:kern w:val="0"/>
          <w:sz w:val="32"/>
          <w:szCs w:val="32"/>
          <w:highlight w:val="none"/>
        </w:rPr>
        <w:t>年初预算为</w:t>
      </w:r>
      <w:r>
        <w:rPr>
          <w:rFonts w:hint="eastAsia" w:ascii="仿宋" w:hAnsi="仿宋" w:eastAsia="仿宋" w:cs="Arial"/>
          <w:kern w:val="0"/>
          <w:sz w:val="32"/>
          <w:szCs w:val="32"/>
          <w:highlight w:val="none"/>
        </w:rPr>
        <w:t>7.48</w:t>
      </w:r>
      <w:r>
        <w:rPr>
          <w:rFonts w:hint="eastAsia" w:ascii="仿宋" w:hAnsi="仿宋" w:eastAsia="仿宋" w:cs="仿宋"/>
          <w:kern w:val="0"/>
          <w:sz w:val="32"/>
          <w:szCs w:val="32"/>
          <w:highlight w:val="none"/>
        </w:rPr>
        <w:t>万元，</w:t>
      </w:r>
      <w:r>
        <w:rPr>
          <w:rFonts w:hint="eastAsia" w:ascii="仿宋" w:hAnsi="仿宋" w:eastAsia="仿宋" w:cs="Arial"/>
          <w:kern w:val="0"/>
          <w:sz w:val="32"/>
          <w:szCs w:val="32"/>
          <w:highlight w:val="none"/>
        </w:rPr>
        <w:t>2019年</w:t>
      </w:r>
      <w:r>
        <w:rPr>
          <w:rFonts w:hint="eastAsia" w:ascii="仿宋" w:hAnsi="仿宋" w:eastAsia="仿宋" w:cs="仿宋"/>
          <w:kern w:val="0"/>
          <w:sz w:val="32"/>
          <w:szCs w:val="32"/>
          <w:highlight w:val="none"/>
        </w:rPr>
        <w:t>支出决算为</w:t>
      </w:r>
      <w:r>
        <w:rPr>
          <w:rFonts w:hint="eastAsia" w:ascii="仿宋" w:hAnsi="仿宋" w:eastAsia="仿宋" w:cs="Arial"/>
          <w:kern w:val="0"/>
          <w:sz w:val="32"/>
          <w:szCs w:val="32"/>
          <w:highlight w:val="none"/>
        </w:rPr>
        <w:t>7.48</w:t>
      </w:r>
      <w:r>
        <w:rPr>
          <w:rFonts w:hint="eastAsia" w:ascii="仿宋" w:hAnsi="仿宋" w:eastAsia="仿宋" w:cs="仿宋"/>
          <w:kern w:val="0"/>
          <w:sz w:val="32"/>
          <w:szCs w:val="32"/>
          <w:highlight w:val="none"/>
        </w:rPr>
        <w:t>万元，完成年初预算的</w:t>
      </w:r>
      <w:r>
        <w:rPr>
          <w:rFonts w:hint="eastAsia" w:ascii="仿宋" w:hAnsi="仿宋" w:eastAsia="仿宋" w:cs="Arial"/>
          <w:kern w:val="0"/>
          <w:sz w:val="32"/>
          <w:szCs w:val="32"/>
          <w:highlight w:val="none"/>
        </w:rPr>
        <w:t>100%</w:t>
      </w:r>
      <w:r>
        <w:rPr>
          <w:rFonts w:hint="eastAsia" w:ascii="仿宋" w:hAnsi="仿宋" w:eastAsia="仿宋" w:cs="仿宋"/>
          <w:kern w:val="0"/>
          <w:sz w:val="32"/>
          <w:szCs w:val="32"/>
          <w:highlight w:val="none"/>
        </w:rPr>
        <w:t>。决算数</w:t>
      </w:r>
      <w:r>
        <w:rPr>
          <w:rFonts w:hint="eastAsia" w:ascii="仿宋" w:hAnsi="仿宋" w:eastAsia="仿宋" w:cs="仿宋"/>
          <w:kern w:val="0"/>
          <w:sz w:val="32"/>
          <w:szCs w:val="32"/>
          <w:highlight w:val="none"/>
          <w:lang w:eastAsia="zh-CN"/>
        </w:rPr>
        <w:t>等</w:t>
      </w:r>
      <w:r>
        <w:rPr>
          <w:rFonts w:hint="eastAsia" w:ascii="仿宋" w:hAnsi="仿宋" w:eastAsia="仿宋" w:cs="仿宋"/>
          <w:kern w:val="0"/>
          <w:sz w:val="32"/>
          <w:szCs w:val="32"/>
          <w:highlight w:val="none"/>
        </w:rPr>
        <w:t>于预算数</w:t>
      </w:r>
      <w:r>
        <w:rPr>
          <w:rFonts w:hint="eastAsia" w:ascii="仿宋" w:hAnsi="仿宋" w:eastAsia="仿宋" w:cs="仿宋"/>
          <w:kern w:val="0"/>
          <w:sz w:val="32"/>
          <w:szCs w:val="32"/>
          <w:highlight w:val="none"/>
          <w:lang w:eastAsia="zh-CN"/>
        </w:rPr>
        <w:t>。</w:t>
      </w:r>
    </w:p>
    <w:p>
      <w:pPr>
        <w:keepNext w:val="0"/>
        <w:keepLines w:val="0"/>
        <w:widowControl/>
        <w:suppressLineNumbers w:val="0"/>
        <w:spacing w:line="600" w:lineRule="atLeast"/>
        <w:ind w:left="0" w:firstLine="640"/>
        <w:jc w:val="both"/>
        <w:rPr>
          <w:rFonts w:hint="eastAsia" w:ascii="仿宋" w:hAnsi="仿宋" w:eastAsia="仿宋" w:cs="Arial"/>
          <w:kern w:val="0"/>
          <w:sz w:val="32"/>
          <w:szCs w:val="32"/>
          <w:highlight w:val="none"/>
        </w:rPr>
      </w:pPr>
      <w:r>
        <w:rPr>
          <w:rFonts w:hint="eastAsia" w:ascii="仿宋" w:hAnsi="仿宋" w:eastAsia="仿宋" w:cs="仿宋"/>
          <w:kern w:val="0"/>
          <w:sz w:val="32"/>
          <w:szCs w:val="32"/>
          <w:highlight w:val="none"/>
        </w:rPr>
        <w:t>卫生健康支出（类）行政事业单位医疗（款）事业单位医疗（项）。</w:t>
      </w:r>
      <w:r>
        <w:rPr>
          <w:rFonts w:hint="eastAsia" w:ascii="仿宋" w:hAnsi="仿宋" w:eastAsia="仿宋" w:cs="Arial"/>
          <w:kern w:val="0"/>
          <w:sz w:val="32"/>
          <w:szCs w:val="32"/>
          <w:highlight w:val="none"/>
        </w:rPr>
        <w:t>2019年</w:t>
      </w:r>
      <w:r>
        <w:rPr>
          <w:rFonts w:hint="eastAsia" w:ascii="仿宋" w:hAnsi="仿宋" w:eastAsia="仿宋" w:cs="仿宋"/>
          <w:kern w:val="0"/>
          <w:sz w:val="32"/>
          <w:szCs w:val="32"/>
          <w:highlight w:val="none"/>
        </w:rPr>
        <w:t>年初预算为</w:t>
      </w:r>
      <w:r>
        <w:rPr>
          <w:rFonts w:hint="eastAsia" w:ascii="仿宋" w:hAnsi="仿宋" w:eastAsia="仿宋" w:cs="Arial"/>
          <w:kern w:val="0"/>
          <w:sz w:val="32"/>
          <w:szCs w:val="32"/>
          <w:highlight w:val="none"/>
        </w:rPr>
        <w:t>9.29</w:t>
      </w:r>
      <w:r>
        <w:rPr>
          <w:rFonts w:hint="eastAsia" w:ascii="仿宋" w:hAnsi="仿宋" w:eastAsia="仿宋" w:cs="仿宋"/>
          <w:kern w:val="0"/>
          <w:sz w:val="32"/>
          <w:szCs w:val="32"/>
          <w:highlight w:val="none"/>
        </w:rPr>
        <w:t>万元，</w:t>
      </w:r>
      <w:r>
        <w:rPr>
          <w:rFonts w:hint="eastAsia" w:ascii="仿宋" w:hAnsi="仿宋" w:eastAsia="仿宋" w:cs="Arial"/>
          <w:kern w:val="0"/>
          <w:sz w:val="32"/>
          <w:szCs w:val="32"/>
          <w:highlight w:val="none"/>
        </w:rPr>
        <w:t>2019年</w:t>
      </w:r>
      <w:r>
        <w:rPr>
          <w:rFonts w:hint="eastAsia" w:ascii="仿宋" w:hAnsi="仿宋" w:eastAsia="仿宋" w:cs="仿宋"/>
          <w:kern w:val="0"/>
          <w:sz w:val="32"/>
          <w:szCs w:val="32"/>
          <w:highlight w:val="none"/>
        </w:rPr>
        <w:t>支出决算为</w:t>
      </w:r>
      <w:r>
        <w:rPr>
          <w:rFonts w:hint="eastAsia" w:ascii="仿宋" w:hAnsi="仿宋" w:eastAsia="仿宋" w:cs="Arial"/>
          <w:kern w:val="0"/>
          <w:sz w:val="32"/>
          <w:szCs w:val="32"/>
          <w:highlight w:val="none"/>
        </w:rPr>
        <w:t>8.41</w:t>
      </w:r>
      <w:r>
        <w:rPr>
          <w:rFonts w:hint="eastAsia" w:ascii="仿宋" w:hAnsi="仿宋" w:eastAsia="仿宋" w:cs="仿宋"/>
          <w:kern w:val="0"/>
          <w:sz w:val="32"/>
          <w:szCs w:val="32"/>
          <w:highlight w:val="none"/>
        </w:rPr>
        <w:t>万元，完成年初预算的</w:t>
      </w:r>
      <w:r>
        <w:rPr>
          <w:rFonts w:hint="eastAsia" w:ascii="仿宋" w:hAnsi="仿宋" w:eastAsia="仿宋" w:cs="Arial"/>
          <w:kern w:val="0"/>
          <w:sz w:val="32"/>
          <w:szCs w:val="32"/>
          <w:highlight w:val="none"/>
        </w:rPr>
        <w:t>90.53%</w:t>
      </w:r>
      <w:r>
        <w:rPr>
          <w:rFonts w:hint="eastAsia" w:ascii="仿宋" w:hAnsi="仿宋" w:eastAsia="仿宋" w:cs="仿宋"/>
          <w:kern w:val="0"/>
          <w:sz w:val="32"/>
          <w:szCs w:val="32"/>
          <w:highlight w:val="none"/>
        </w:rPr>
        <w:t>，决算数小于预算数的主要原因是2019年度人员增减变动。</w:t>
      </w:r>
    </w:p>
    <w:p>
      <w:pPr>
        <w:keepNext w:val="0"/>
        <w:keepLines w:val="0"/>
        <w:widowControl/>
        <w:suppressLineNumbers w:val="0"/>
        <w:spacing w:line="600" w:lineRule="atLeast"/>
        <w:ind w:left="0" w:firstLine="640"/>
        <w:jc w:val="both"/>
        <w:rPr>
          <w:rFonts w:hint="eastAsia" w:ascii="仿宋" w:hAnsi="仿宋" w:eastAsia="仿宋" w:cs="Arial"/>
          <w:kern w:val="0"/>
          <w:sz w:val="32"/>
          <w:szCs w:val="32"/>
          <w:highlight w:val="none"/>
        </w:rPr>
      </w:pPr>
      <w:r>
        <w:rPr>
          <w:rFonts w:hint="eastAsia" w:ascii="仿宋" w:hAnsi="仿宋" w:eastAsia="仿宋" w:cs="仿宋"/>
          <w:kern w:val="0"/>
          <w:sz w:val="32"/>
          <w:szCs w:val="32"/>
          <w:highlight w:val="none"/>
        </w:rPr>
        <w:t>住房保障支出</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类</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住房改革支出（款）住房公积金</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项</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w:t>
      </w:r>
      <w:r>
        <w:rPr>
          <w:rFonts w:hint="eastAsia" w:ascii="仿宋" w:hAnsi="仿宋" w:eastAsia="仿宋" w:cs="Arial"/>
          <w:kern w:val="0"/>
          <w:sz w:val="32"/>
          <w:szCs w:val="32"/>
          <w:highlight w:val="none"/>
        </w:rPr>
        <w:t>2019年</w:t>
      </w:r>
      <w:r>
        <w:rPr>
          <w:rFonts w:hint="eastAsia" w:ascii="仿宋" w:hAnsi="仿宋" w:eastAsia="仿宋" w:cs="仿宋"/>
          <w:kern w:val="0"/>
          <w:sz w:val="32"/>
          <w:szCs w:val="32"/>
          <w:highlight w:val="none"/>
        </w:rPr>
        <w:t>年初预算为</w:t>
      </w:r>
      <w:r>
        <w:rPr>
          <w:rFonts w:hint="eastAsia" w:ascii="仿宋" w:hAnsi="仿宋" w:eastAsia="仿宋" w:cs="Arial"/>
          <w:kern w:val="0"/>
          <w:sz w:val="32"/>
          <w:szCs w:val="32"/>
          <w:highlight w:val="none"/>
        </w:rPr>
        <w:t>11.59</w:t>
      </w:r>
      <w:r>
        <w:rPr>
          <w:rFonts w:hint="eastAsia" w:ascii="仿宋" w:hAnsi="仿宋" w:eastAsia="仿宋" w:cs="仿宋"/>
          <w:kern w:val="0"/>
          <w:sz w:val="32"/>
          <w:szCs w:val="32"/>
          <w:highlight w:val="none"/>
        </w:rPr>
        <w:t>万元，</w:t>
      </w:r>
      <w:r>
        <w:rPr>
          <w:rFonts w:hint="eastAsia" w:ascii="仿宋" w:hAnsi="仿宋" w:eastAsia="仿宋" w:cs="Arial"/>
          <w:kern w:val="0"/>
          <w:sz w:val="32"/>
          <w:szCs w:val="32"/>
          <w:highlight w:val="none"/>
        </w:rPr>
        <w:t>2019年</w:t>
      </w:r>
      <w:r>
        <w:rPr>
          <w:rFonts w:hint="eastAsia" w:ascii="仿宋" w:hAnsi="仿宋" w:eastAsia="仿宋" w:cs="仿宋"/>
          <w:kern w:val="0"/>
          <w:sz w:val="32"/>
          <w:szCs w:val="32"/>
          <w:highlight w:val="none"/>
        </w:rPr>
        <w:t>支出决算为</w:t>
      </w:r>
      <w:r>
        <w:rPr>
          <w:rFonts w:hint="eastAsia" w:ascii="仿宋" w:hAnsi="仿宋" w:eastAsia="仿宋" w:cs="Arial"/>
          <w:kern w:val="0"/>
          <w:sz w:val="32"/>
          <w:szCs w:val="32"/>
          <w:highlight w:val="none"/>
        </w:rPr>
        <w:t>11.59</w:t>
      </w:r>
      <w:r>
        <w:rPr>
          <w:rFonts w:hint="eastAsia" w:ascii="仿宋" w:hAnsi="仿宋" w:eastAsia="仿宋" w:cs="仿宋"/>
          <w:kern w:val="0"/>
          <w:sz w:val="32"/>
          <w:szCs w:val="32"/>
          <w:highlight w:val="none"/>
        </w:rPr>
        <w:t>万元，完成年初预算的</w:t>
      </w:r>
      <w:r>
        <w:rPr>
          <w:rFonts w:hint="eastAsia" w:ascii="仿宋" w:hAnsi="仿宋" w:eastAsia="仿宋" w:cs="Arial"/>
          <w:kern w:val="0"/>
          <w:sz w:val="32"/>
          <w:szCs w:val="32"/>
          <w:highlight w:val="none"/>
        </w:rPr>
        <w:t>100%</w:t>
      </w:r>
      <w:r>
        <w:rPr>
          <w:rFonts w:hint="eastAsia" w:ascii="仿宋" w:hAnsi="仿宋" w:eastAsia="仿宋" w:cs="仿宋"/>
          <w:kern w:val="0"/>
          <w:sz w:val="32"/>
          <w:szCs w:val="32"/>
          <w:highlight w:val="none"/>
        </w:rPr>
        <w:t>。决算数</w:t>
      </w:r>
      <w:r>
        <w:rPr>
          <w:rFonts w:hint="eastAsia" w:ascii="仿宋" w:hAnsi="仿宋" w:eastAsia="仿宋" w:cs="仿宋"/>
          <w:kern w:val="0"/>
          <w:sz w:val="32"/>
          <w:szCs w:val="32"/>
          <w:highlight w:val="none"/>
          <w:lang w:eastAsia="zh-CN"/>
        </w:rPr>
        <w:t>等</w:t>
      </w:r>
      <w:r>
        <w:rPr>
          <w:rFonts w:hint="eastAsia" w:ascii="仿宋" w:hAnsi="仿宋" w:eastAsia="仿宋" w:cs="仿宋"/>
          <w:kern w:val="0"/>
          <w:sz w:val="32"/>
          <w:szCs w:val="32"/>
          <w:highlight w:val="none"/>
        </w:rPr>
        <w:t>于预算数</w:t>
      </w:r>
      <w:r>
        <w:rPr>
          <w:rFonts w:hint="eastAsia" w:ascii="仿宋" w:hAnsi="仿宋" w:eastAsia="仿宋" w:cs="仿宋"/>
          <w:kern w:val="0"/>
          <w:sz w:val="32"/>
          <w:szCs w:val="32"/>
          <w:highlight w:val="none"/>
          <w:lang w:eastAsia="zh-CN"/>
        </w:rPr>
        <w:t>。</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highlight w:val="none"/>
        </w:rPr>
      </w:pPr>
      <w:r>
        <w:rPr>
          <w:rFonts w:hint="eastAsia" w:ascii="仿宋" w:hAnsi="仿宋" w:eastAsia="仿宋" w:cs="仿宋"/>
          <w:kern w:val="0"/>
          <w:sz w:val="32"/>
          <w:szCs w:val="32"/>
          <w:highlight w:val="none"/>
        </w:rPr>
        <w:t>城乡社区支出</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类</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城乡社区规划与管理（款）城乡社区规划与管理</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项</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w:t>
      </w:r>
      <w:r>
        <w:rPr>
          <w:rFonts w:hint="eastAsia" w:ascii="仿宋" w:hAnsi="仿宋" w:eastAsia="仿宋" w:cs="Arial"/>
          <w:kern w:val="0"/>
          <w:sz w:val="32"/>
          <w:szCs w:val="32"/>
          <w:highlight w:val="none"/>
        </w:rPr>
        <w:t>2019年</w:t>
      </w:r>
      <w:r>
        <w:rPr>
          <w:rFonts w:hint="eastAsia" w:ascii="仿宋" w:hAnsi="仿宋" w:eastAsia="仿宋" w:cs="仿宋"/>
          <w:kern w:val="0"/>
          <w:sz w:val="32"/>
          <w:szCs w:val="32"/>
          <w:highlight w:val="none"/>
        </w:rPr>
        <w:t>年初预算为</w:t>
      </w:r>
      <w:r>
        <w:rPr>
          <w:rFonts w:hint="eastAsia" w:ascii="仿宋" w:hAnsi="仿宋" w:eastAsia="仿宋" w:cs="Arial"/>
          <w:kern w:val="0"/>
          <w:sz w:val="32"/>
          <w:szCs w:val="32"/>
          <w:highlight w:val="none"/>
        </w:rPr>
        <w:t>360.73</w:t>
      </w:r>
      <w:r>
        <w:rPr>
          <w:rFonts w:hint="eastAsia" w:ascii="仿宋" w:hAnsi="仿宋" w:eastAsia="仿宋" w:cs="仿宋"/>
          <w:kern w:val="0"/>
          <w:sz w:val="32"/>
          <w:szCs w:val="32"/>
          <w:highlight w:val="none"/>
        </w:rPr>
        <w:t>万元，</w:t>
      </w:r>
      <w:r>
        <w:rPr>
          <w:rFonts w:hint="eastAsia" w:ascii="仿宋" w:hAnsi="仿宋" w:eastAsia="仿宋" w:cs="Arial"/>
          <w:kern w:val="0"/>
          <w:sz w:val="32"/>
          <w:szCs w:val="32"/>
          <w:highlight w:val="none"/>
        </w:rPr>
        <w:t>2019年</w:t>
      </w:r>
      <w:r>
        <w:rPr>
          <w:rFonts w:hint="eastAsia" w:ascii="仿宋" w:hAnsi="仿宋" w:eastAsia="仿宋" w:cs="仿宋"/>
          <w:kern w:val="0"/>
          <w:sz w:val="32"/>
          <w:szCs w:val="32"/>
          <w:highlight w:val="none"/>
        </w:rPr>
        <w:t>支出决算为</w:t>
      </w:r>
      <w:r>
        <w:rPr>
          <w:rFonts w:hint="eastAsia" w:ascii="仿宋" w:hAnsi="仿宋" w:eastAsia="仿宋" w:cs="Arial"/>
          <w:kern w:val="0"/>
          <w:sz w:val="32"/>
          <w:szCs w:val="32"/>
          <w:highlight w:val="none"/>
        </w:rPr>
        <w:t>523.76</w:t>
      </w:r>
      <w:r>
        <w:rPr>
          <w:rFonts w:hint="eastAsia" w:ascii="仿宋" w:hAnsi="仿宋" w:eastAsia="仿宋" w:cs="仿宋"/>
          <w:kern w:val="0"/>
          <w:sz w:val="32"/>
          <w:szCs w:val="32"/>
          <w:highlight w:val="none"/>
        </w:rPr>
        <w:t>万元，完成年初预算的145.19</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。决算数大于预算数的主要原因是</w:t>
      </w:r>
      <w:r>
        <w:rPr>
          <w:rFonts w:hint="eastAsia" w:ascii="仿宋" w:hAnsi="仿宋" w:eastAsia="仿宋" w:cs="仿宋"/>
          <w:kern w:val="0"/>
          <w:sz w:val="32"/>
          <w:szCs w:val="32"/>
          <w:highlight w:val="none"/>
          <w:lang w:val="en-US" w:eastAsia="zh-CN"/>
        </w:rPr>
        <w:t>2019年度</w:t>
      </w:r>
      <w:r>
        <w:rPr>
          <w:rFonts w:hint="eastAsia" w:ascii="仿宋" w:hAnsi="仿宋" w:eastAsia="仿宋" w:cs="仿宋"/>
          <w:kern w:val="0"/>
          <w:sz w:val="32"/>
          <w:szCs w:val="32"/>
          <w:highlight w:val="none"/>
          <w:lang w:eastAsia="zh-CN"/>
        </w:rPr>
        <w:t>规划编制工作事项增加，如</w:t>
      </w:r>
      <w:r>
        <w:rPr>
          <w:rFonts w:hint="eastAsia" w:ascii="仿宋" w:hAnsi="仿宋" w:eastAsia="仿宋" w:cs="仿宋"/>
          <w:kern w:val="0"/>
          <w:sz w:val="32"/>
          <w:szCs w:val="32"/>
          <w:highlight w:val="none"/>
          <w:shd w:val="clear" w:fill="FFFFFF"/>
        </w:rPr>
        <w:t>增加黄龙商贸城街坊、大南隔岸垟地块</w:t>
      </w:r>
      <w:r>
        <w:rPr>
          <w:rFonts w:hint="eastAsia" w:ascii="仿宋" w:hAnsi="仿宋" w:eastAsia="仿宋" w:cs="仿宋"/>
          <w:kern w:val="0"/>
          <w:sz w:val="32"/>
          <w:szCs w:val="32"/>
          <w:highlight w:val="none"/>
          <w:shd w:val="clear" w:fill="FFFFFF"/>
          <w:lang w:eastAsia="zh-CN"/>
        </w:rPr>
        <w:t>等控规编制（修改）</w:t>
      </w:r>
      <w:r>
        <w:rPr>
          <w:rFonts w:hint="eastAsia" w:ascii="仿宋" w:hAnsi="仿宋" w:eastAsia="仿宋" w:cs="仿宋"/>
          <w:kern w:val="0"/>
          <w:sz w:val="32"/>
          <w:szCs w:val="32"/>
          <w:highlight w:val="none"/>
          <w:shd w:val="clear" w:fill="FFFFFF"/>
        </w:rPr>
        <w:t>和鹿城区做地规划研究等项目支出</w:t>
      </w:r>
      <w:r>
        <w:rPr>
          <w:rFonts w:hint="eastAsia" w:ascii="仿宋" w:hAnsi="仿宋" w:eastAsia="仿宋" w:cs="仿宋"/>
          <w:kern w:val="0"/>
          <w:sz w:val="32"/>
          <w:szCs w:val="32"/>
          <w:highlight w:val="none"/>
        </w:rPr>
        <w:t>。</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楷体" w:hAnsi="楷体" w:eastAsia="楷体" w:cs="楷体"/>
          <w:b/>
          <w:kern w:val="0"/>
          <w:sz w:val="32"/>
          <w:szCs w:val="32"/>
          <w:highlight w:val="none"/>
          <w:shd w:val="clear" w:fill="FFFFFF"/>
        </w:rPr>
        <w:t>（六）一般公共预算财政拨款基本支出决算情况说明</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Arial"/>
          <w:kern w:val="0"/>
          <w:sz w:val="32"/>
          <w:szCs w:val="32"/>
          <w:highlight w:val="none"/>
          <w:shd w:val="clear" w:fill="FFFFFF"/>
        </w:rPr>
        <w:t>2019年度一般公共预算财政拨款基本支出237.17万元，其中：</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仿宋"/>
          <w:kern w:val="0"/>
          <w:sz w:val="32"/>
          <w:szCs w:val="32"/>
          <w:highlight w:val="none"/>
          <w:shd w:val="clear" w:fill="FFFFFF"/>
        </w:rPr>
        <w:t>人员经费</w:t>
      </w:r>
      <w:r>
        <w:rPr>
          <w:rFonts w:hint="eastAsia" w:ascii="仿宋" w:hAnsi="仿宋" w:eastAsia="仿宋" w:cs="Arial"/>
          <w:kern w:val="0"/>
          <w:sz w:val="32"/>
          <w:szCs w:val="32"/>
          <w:highlight w:val="none"/>
          <w:shd w:val="clear" w:fill="FFFFFF"/>
        </w:rPr>
        <w:t>225.33万元，主要包括：基本工资、</w:t>
      </w:r>
      <w:r>
        <w:rPr>
          <w:rFonts w:hint="eastAsia" w:ascii="仿宋" w:hAnsi="仿宋" w:eastAsia="仿宋" w:cs="仿宋"/>
          <w:kern w:val="0"/>
          <w:sz w:val="32"/>
          <w:szCs w:val="32"/>
          <w:highlight w:val="none"/>
        </w:rPr>
        <w:t>津贴补贴、奖金、</w:t>
      </w:r>
      <w:r>
        <w:rPr>
          <w:rFonts w:hint="eastAsia" w:ascii="仿宋" w:hAnsi="仿宋" w:eastAsia="仿宋" w:cs="仿宋"/>
          <w:color w:val="000000"/>
          <w:kern w:val="0"/>
          <w:sz w:val="32"/>
          <w:szCs w:val="32"/>
          <w:highlight w:val="none"/>
        </w:rPr>
        <w:t>社会保险、公积金等工资福利支出</w:t>
      </w:r>
      <w:r>
        <w:rPr>
          <w:rFonts w:hint="eastAsia" w:ascii="仿宋" w:hAnsi="仿宋" w:eastAsia="仿宋" w:cs="仿宋"/>
          <w:kern w:val="0"/>
          <w:sz w:val="32"/>
          <w:szCs w:val="32"/>
          <w:highlight w:val="none"/>
        </w:rPr>
        <w:t>；</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仿宋"/>
          <w:color w:val="000000"/>
          <w:kern w:val="0"/>
          <w:sz w:val="32"/>
          <w:szCs w:val="32"/>
          <w:highlight w:val="none"/>
        </w:rPr>
      </w:pPr>
      <w:r>
        <w:rPr>
          <w:rFonts w:hint="eastAsia" w:ascii="仿宋" w:hAnsi="仿宋" w:eastAsia="仿宋" w:cs="仿宋"/>
          <w:kern w:val="0"/>
          <w:sz w:val="32"/>
          <w:szCs w:val="32"/>
          <w:highlight w:val="none"/>
          <w:shd w:val="clear" w:fill="FFFFFF"/>
        </w:rPr>
        <w:t>公用经费</w:t>
      </w:r>
      <w:r>
        <w:rPr>
          <w:rFonts w:hint="eastAsia" w:ascii="仿宋" w:hAnsi="仿宋" w:eastAsia="仿宋" w:cs="Arial"/>
          <w:kern w:val="0"/>
          <w:sz w:val="32"/>
          <w:szCs w:val="32"/>
          <w:highlight w:val="none"/>
          <w:shd w:val="clear" w:fill="FFFFFF"/>
        </w:rPr>
        <w:t>11.84万元，主要包括：</w:t>
      </w:r>
      <w:r>
        <w:rPr>
          <w:rFonts w:hint="eastAsia" w:ascii="仿宋" w:hAnsi="仿宋" w:eastAsia="仿宋" w:cs="仿宋"/>
          <w:color w:val="000000"/>
          <w:kern w:val="0"/>
          <w:sz w:val="32"/>
          <w:szCs w:val="32"/>
          <w:highlight w:val="none"/>
        </w:rPr>
        <w:t>办公费、水电费、物业管理费、维护费、劳务费、差旅费等单位运行经费及公用支出。</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楷体" w:hAnsi="楷体" w:eastAsia="楷体" w:cs="楷体"/>
          <w:b/>
          <w:kern w:val="0"/>
          <w:sz w:val="32"/>
          <w:szCs w:val="32"/>
          <w:highlight w:val="none"/>
          <w:shd w:val="clear" w:fill="FFFFFF"/>
        </w:rPr>
        <w:t>（七）政府性基金预算财政拨款支出决算总体情况</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仿宋" w:hAnsi="仿宋" w:eastAsia="仿宋" w:cs="Arial"/>
          <w:b/>
          <w:kern w:val="0"/>
          <w:sz w:val="32"/>
          <w:szCs w:val="32"/>
          <w:highlight w:val="none"/>
          <w:shd w:val="clear" w:fill="FFFFFF"/>
        </w:rPr>
        <w:t>1.政府性基金预算财政拨款支出决算总体情况。</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Arial"/>
          <w:kern w:val="0"/>
          <w:sz w:val="32"/>
          <w:szCs w:val="32"/>
          <w:highlight w:val="none"/>
          <w:shd w:val="clear" w:fill="FFFFFF"/>
        </w:rPr>
        <w:t>2019年度政府性基金预算财政拨款支出0万元，占本年支出合计的0%。与2018年相比，政府性基金预算财政拨款支出增加/减少0</w:t>
      </w:r>
      <w:r>
        <w:rPr>
          <w:rFonts w:hint="eastAsia" w:ascii="仿宋" w:hAnsi="仿宋" w:eastAsia="仿宋" w:cs="仿宋"/>
          <w:kern w:val="0"/>
          <w:sz w:val="32"/>
          <w:szCs w:val="32"/>
          <w:highlight w:val="none"/>
          <w:shd w:val="clear" w:fill="FFFFFF"/>
        </w:rPr>
        <w:t>万元，增长</w:t>
      </w:r>
      <w:r>
        <w:rPr>
          <w:rFonts w:hint="eastAsia" w:ascii="仿宋" w:hAnsi="仿宋" w:eastAsia="仿宋" w:cs="Arial"/>
          <w:kern w:val="0"/>
          <w:sz w:val="32"/>
          <w:szCs w:val="32"/>
          <w:highlight w:val="none"/>
          <w:shd w:val="clear" w:fill="FFFFFF"/>
        </w:rPr>
        <w:t>/下降0%。</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仿宋" w:hAnsi="仿宋" w:eastAsia="仿宋" w:cs="Arial"/>
          <w:b/>
          <w:kern w:val="0"/>
          <w:sz w:val="32"/>
          <w:szCs w:val="32"/>
          <w:highlight w:val="none"/>
          <w:shd w:val="clear" w:fill="FFFFFF"/>
        </w:rPr>
        <w:t>2.政府性基金预算财政拨款支出决算结构情况。</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Arial"/>
          <w:kern w:val="0"/>
          <w:sz w:val="32"/>
          <w:szCs w:val="32"/>
          <w:highlight w:val="none"/>
          <w:shd w:val="clear" w:fill="FFFFFF"/>
        </w:rPr>
        <w:t>2019年度政府性基金预算财政拨款支出0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其他（类）支出0万元,占0%；债务付息（类）支出0万元,占0%。</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仿宋" w:hAnsi="仿宋" w:eastAsia="仿宋" w:cs="Arial"/>
          <w:b/>
          <w:kern w:val="0"/>
          <w:sz w:val="32"/>
          <w:szCs w:val="32"/>
          <w:highlight w:val="none"/>
          <w:shd w:val="clear" w:fill="FFFFFF"/>
        </w:rPr>
        <w:t>3.政府性基金预算财政拨款支出决算具体情况。</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Arial"/>
          <w:kern w:val="0"/>
          <w:sz w:val="32"/>
          <w:szCs w:val="32"/>
          <w:highlight w:val="none"/>
          <w:shd w:val="clear" w:fill="FFFFFF"/>
        </w:rPr>
        <w:t>2019年度政府性基金预算财政拨款支出年初预算为0</w:t>
      </w:r>
      <w:r>
        <w:rPr>
          <w:rFonts w:hint="eastAsia" w:ascii="仿宋" w:hAnsi="仿宋" w:eastAsia="仿宋" w:cs="仿宋"/>
          <w:kern w:val="0"/>
          <w:sz w:val="32"/>
          <w:szCs w:val="32"/>
          <w:highlight w:val="none"/>
          <w:shd w:val="clear" w:fill="FFFFFF"/>
        </w:rPr>
        <w:t>万元，支出决算为</w:t>
      </w:r>
      <w:r>
        <w:rPr>
          <w:rFonts w:hint="eastAsia" w:ascii="仿宋" w:hAnsi="仿宋" w:eastAsia="仿宋" w:cs="Arial"/>
          <w:kern w:val="0"/>
          <w:sz w:val="32"/>
          <w:szCs w:val="32"/>
          <w:highlight w:val="none"/>
          <w:shd w:val="clear" w:fill="FFFFFF"/>
        </w:rPr>
        <w:t>0万元。</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楷体" w:hAnsi="楷体" w:eastAsia="楷体" w:cs="楷体"/>
          <w:b/>
          <w:kern w:val="0"/>
          <w:sz w:val="32"/>
          <w:szCs w:val="32"/>
          <w:highlight w:val="none"/>
          <w:shd w:val="clear" w:fill="FFFFFF"/>
        </w:rPr>
        <w:t>（八）</w:t>
      </w:r>
      <w:r>
        <w:rPr>
          <w:rStyle w:val="5"/>
          <w:rFonts w:hint="eastAsia" w:ascii="楷体" w:hAnsi="楷体" w:eastAsia="楷体" w:cs="Arial"/>
          <w:b/>
          <w:kern w:val="0"/>
          <w:sz w:val="32"/>
          <w:szCs w:val="32"/>
          <w:highlight w:val="none"/>
          <w:shd w:val="clear" w:fill="FFFFFF"/>
        </w:rPr>
        <w:t>2019年度一般公共预算财政拨款“三公”经费支出决算情况说明</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仿宋" w:hAnsi="仿宋" w:eastAsia="仿宋" w:cs="Arial"/>
          <w:b/>
          <w:kern w:val="0"/>
          <w:sz w:val="32"/>
          <w:szCs w:val="32"/>
          <w:highlight w:val="none"/>
          <w:shd w:val="clear" w:fill="FFFFFF"/>
        </w:rPr>
        <w:t xml:space="preserve">1.“三公”经费一般公共预算财政拨款支出决算总体情况说明。 </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Arial"/>
          <w:kern w:val="0"/>
          <w:sz w:val="32"/>
          <w:szCs w:val="32"/>
          <w:highlight w:val="none"/>
        </w:rPr>
        <w:t>2019</w:t>
      </w:r>
      <w:r>
        <w:rPr>
          <w:rFonts w:hint="eastAsia" w:ascii="仿宋" w:hAnsi="仿宋" w:eastAsia="仿宋" w:cs="仿宋"/>
          <w:kern w:val="0"/>
          <w:sz w:val="32"/>
          <w:szCs w:val="32"/>
          <w:highlight w:val="none"/>
        </w:rPr>
        <w:t>年度</w:t>
      </w:r>
      <w:r>
        <w:rPr>
          <w:rFonts w:hint="eastAsia" w:ascii="仿宋" w:hAnsi="仿宋" w:eastAsia="仿宋" w:cs="Arial"/>
          <w:kern w:val="0"/>
          <w:sz w:val="32"/>
          <w:szCs w:val="32"/>
          <w:highlight w:val="none"/>
        </w:rPr>
        <w:t>“三公”经费一般公共预算财政拨款支出预算为0.50</w:t>
      </w:r>
      <w:r>
        <w:rPr>
          <w:rFonts w:hint="eastAsia" w:ascii="仿宋" w:hAnsi="仿宋" w:eastAsia="仿宋" w:cs="仿宋"/>
          <w:kern w:val="0"/>
          <w:sz w:val="32"/>
          <w:szCs w:val="32"/>
          <w:highlight w:val="none"/>
        </w:rPr>
        <w:t>万元，支出决算为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万元，完成预算的</w:t>
      </w:r>
      <w:r>
        <w:rPr>
          <w:rFonts w:hint="eastAsia" w:ascii="仿宋" w:hAnsi="仿宋" w:eastAsia="仿宋" w:cs="Arial"/>
          <w:kern w:val="0"/>
          <w:sz w:val="32"/>
          <w:szCs w:val="32"/>
          <w:highlight w:val="none"/>
        </w:rPr>
        <w:t>0%,2019</w:t>
      </w:r>
      <w:r>
        <w:rPr>
          <w:rFonts w:hint="eastAsia" w:ascii="仿宋" w:hAnsi="仿宋" w:eastAsia="仿宋" w:cs="仿宋"/>
          <w:kern w:val="0"/>
          <w:sz w:val="32"/>
          <w:szCs w:val="32"/>
          <w:highlight w:val="none"/>
        </w:rPr>
        <w:t>年度</w:t>
      </w:r>
      <w:r>
        <w:rPr>
          <w:rFonts w:hint="eastAsia" w:ascii="仿宋" w:hAnsi="仿宋" w:eastAsia="仿宋" w:cs="Arial"/>
          <w:kern w:val="0"/>
          <w:sz w:val="32"/>
          <w:szCs w:val="32"/>
          <w:highlight w:val="none"/>
        </w:rPr>
        <w:t>“三公”经费支出决算数小于预算数的主要原因</w:t>
      </w:r>
      <w:r>
        <w:rPr>
          <w:rFonts w:hint="eastAsia" w:ascii="仿宋" w:hAnsi="仿宋" w:eastAsia="仿宋" w:cs="仿宋"/>
          <w:kern w:val="0"/>
          <w:sz w:val="32"/>
          <w:szCs w:val="32"/>
          <w:highlight w:val="none"/>
        </w:rPr>
        <w:t>是公务接待支出具有不确定性，</w:t>
      </w:r>
      <w:r>
        <w:rPr>
          <w:rFonts w:hint="eastAsia" w:ascii="仿宋" w:hAnsi="仿宋" w:eastAsia="仿宋" w:cs="Arial"/>
          <w:kern w:val="0"/>
          <w:sz w:val="32"/>
          <w:szCs w:val="32"/>
          <w:highlight w:val="none"/>
        </w:rPr>
        <w:t>2019</w:t>
      </w:r>
      <w:r>
        <w:rPr>
          <w:rFonts w:hint="eastAsia" w:ascii="仿宋" w:hAnsi="仿宋" w:eastAsia="仿宋" w:cs="仿宋"/>
          <w:kern w:val="0"/>
          <w:sz w:val="32"/>
          <w:szCs w:val="32"/>
          <w:highlight w:val="none"/>
        </w:rPr>
        <w:t>年预算时安排预留这块经费</w:t>
      </w:r>
      <w:r>
        <w:rPr>
          <w:rFonts w:hint="eastAsia" w:ascii="仿宋" w:hAnsi="仿宋" w:eastAsia="仿宋" w:cs="Arial"/>
          <w:kern w:val="0"/>
          <w:sz w:val="32"/>
          <w:szCs w:val="32"/>
          <w:highlight w:val="none"/>
        </w:rPr>
        <w:t>0.5</w:t>
      </w:r>
      <w:r>
        <w:rPr>
          <w:rFonts w:hint="eastAsia" w:ascii="仿宋" w:hAnsi="仿宋" w:eastAsia="仿宋" w:cs="仿宋"/>
          <w:kern w:val="0"/>
          <w:sz w:val="32"/>
          <w:szCs w:val="32"/>
          <w:highlight w:val="none"/>
        </w:rPr>
        <w:t>万元，但实际无公务接待支出。</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仿宋" w:hAnsi="仿宋" w:eastAsia="仿宋" w:cs="Arial"/>
          <w:b/>
          <w:kern w:val="0"/>
          <w:sz w:val="32"/>
          <w:szCs w:val="32"/>
          <w:highlight w:val="none"/>
          <w:shd w:val="clear" w:fill="FFFFFF"/>
        </w:rPr>
        <w:t>2.“三公”经费一般公共预算财政拨款支出决算具体情况说明。</w:t>
      </w:r>
    </w:p>
    <w:p>
      <w:pPr>
        <w:keepNext w:val="0"/>
        <w:keepLines w:val="0"/>
        <w:widowControl/>
        <w:suppressLineNumbers w:val="0"/>
        <w:spacing w:line="600" w:lineRule="atLeast"/>
        <w:ind w:left="0" w:firstLine="640"/>
        <w:jc w:val="both"/>
        <w:rPr>
          <w:rFonts w:hint="eastAsia" w:ascii="宋体" w:hAnsi="宋体" w:eastAsia="宋体" w:cs="宋体"/>
          <w:kern w:val="0"/>
          <w:sz w:val="24"/>
          <w:szCs w:val="24"/>
          <w:highlight w:val="none"/>
        </w:rPr>
      </w:pPr>
      <w:r>
        <w:rPr>
          <w:rFonts w:hint="eastAsia" w:ascii="仿宋" w:hAnsi="仿宋" w:eastAsia="仿宋" w:cs="Arial"/>
          <w:kern w:val="0"/>
          <w:sz w:val="32"/>
          <w:szCs w:val="32"/>
          <w:highlight w:val="none"/>
        </w:rPr>
        <w:t>2019年</w:t>
      </w:r>
      <w:r>
        <w:rPr>
          <w:rFonts w:hint="eastAsia" w:ascii="仿宋" w:hAnsi="仿宋" w:eastAsia="仿宋" w:cs="仿宋"/>
          <w:kern w:val="0"/>
          <w:sz w:val="32"/>
          <w:szCs w:val="32"/>
          <w:highlight w:val="none"/>
        </w:rPr>
        <w:t>度</w:t>
      </w:r>
      <w:r>
        <w:rPr>
          <w:rFonts w:hint="eastAsia" w:ascii="仿宋" w:hAnsi="仿宋" w:eastAsia="仿宋" w:cs="Arial"/>
          <w:kern w:val="0"/>
          <w:sz w:val="32"/>
          <w:szCs w:val="32"/>
          <w:highlight w:val="none"/>
        </w:rPr>
        <w:t>“三公”经费一般公共预算财政拨款支出决算中，因公出国（境）费用支出决算为0</w:t>
      </w:r>
      <w:r>
        <w:rPr>
          <w:rFonts w:hint="eastAsia" w:ascii="仿宋" w:hAnsi="仿宋" w:eastAsia="仿宋" w:cs="仿宋"/>
          <w:kern w:val="0"/>
          <w:sz w:val="32"/>
          <w:szCs w:val="32"/>
          <w:highlight w:val="none"/>
        </w:rPr>
        <w:t>万元，占</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，与</w:t>
      </w:r>
      <w:r>
        <w:rPr>
          <w:rFonts w:hint="eastAsia" w:ascii="仿宋" w:hAnsi="仿宋" w:eastAsia="仿宋" w:cs="Arial"/>
          <w:kern w:val="0"/>
          <w:sz w:val="32"/>
          <w:szCs w:val="32"/>
          <w:highlight w:val="none"/>
        </w:rPr>
        <w:t>2017</w:t>
      </w:r>
      <w:r>
        <w:rPr>
          <w:rFonts w:hint="eastAsia" w:ascii="仿宋" w:hAnsi="仿宋" w:eastAsia="仿宋" w:cs="仿宋"/>
          <w:kern w:val="0"/>
          <w:sz w:val="32"/>
          <w:szCs w:val="32"/>
          <w:highlight w:val="none"/>
        </w:rPr>
        <w:t>年度相比，增加</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减少</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万元，增长</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下降</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，主要原因是根据以前年度测算，</w:t>
      </w:r>
      <w:r>
        <w:rPr>
          <w:rFonts w:hint="eastAsia" w:ascii="仿宋" w:hAnsi="仿宋" w:eastAsia="仿宋" w:cs="Arial"/>
          <w:kern w:val="0"/>
          <w:sz w:val="32"/>
          <w:szCs w:val="32"/>
          <w:highlight w:val="none"/>
        </w:rPr>
        <w:t>2017</w:t>
      </w:r>
      <w:r>
        <w:rPr>
          <w:rFonts w:hint="eastAsia" w:ascii="仿宋" w:hAnsi="仿宋" w:eastAsia="仿宋" w:cs="仿宋"/>
          <w:kern w:val="0"/>
          <w:sz w:val="32"/>
          <w:szCs w:val="32"/>
          <w:highlight w:val="none"/>
        </w:rPr>
        <w:t>年、</w:t>
      </w:r>
      <w:r>
        <w:rPr>
          <w:rFonts w:hint="eastAsia" w:ascii="仿宋" w:hAnsi="仿宋" w:eastAsia="仿宋" w:cs="Arial"/>
          <w:kern w:val="0"/>
          <w:sz w:val="32"/>
          <w:szCs w:val="32"/>
          <w:highlight w:val="none"/>
        </w:rPr>
        <w:t>2018</w:t>
      </w:r>
      <w:r>
        <w:rPr>
          <w:rFonts w:hint="eastAsia" w:ascii="仿宋" w:hAnsi="仿宋" w:eastAsia="仿宋" w:cs="仿宋"/>
          <w:kern w:val="0"/>
          <w:sz w:val="32"/>
          <w:szCs w:val="32"/>
          <w:highlight w:val="none"/>
        </w:rPr>
        <w:t>年均无出国（境）费用需求，故未安排该项预算；公务用车购置及运行维护费支出决算为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万元，占</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，与</w:t>
      </w:r>
      <w:r>
        <w:rPr>
          <w:rFonts w:hint="eastAsia" w:ascii="仿宋" w:hAnsi="仿宋" w:eastAsia="仿宋" w:cs="Arial"/>
          <w:kern w:val="0"/>
          <w:sz w:val="32"/>
          <w:szCs w:val="32"/>
          <w:highlight w:val="none"/>
        </w:rPr>
        <w:t>2017</w:t>
      </w:r>
      <w:r>
        <w:rPr>
          <w:rFonts w:hint="eastAsia" w:ascii="仿宋" w:hAnsi="仿宋" w:eastAsia="仿宋" w:cs="仿宋"/>
          <w:kern w:val="0"/>
          <w:sz w:val="32"/>
          <w:szCs w:val="32"/>
          <w:highlight w:val="none"/>
        </w:rPr>
        <w:t>年度相比，增加</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减少</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万元，增长</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下降</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，主要原因是根据以前年度测算，</w:t>
      </w:r>
      <w:r>
        <w:rPr>
          <w:rFonts w:hint="eastAsia" w:ascii="仿宋" w:hAnsi="仿宋" w:eastAsia="仿宋" w:cs="Arial"/>
          <w:kern w:val="0"/>
          <w:sz w:val="32"/>
          <w:szCs w:val="32"/>
          <w:highlight w:val="none"/>
        </w:rPr>
        <w:t>2017</w:t>
      </w:r>
      <w:r>
        <w:rPr>
          <w:rFonts w:hint="eastAsia" w:ascii="仿宋" w:hAnsi="仿宋" w:eastAsia="仿宋" w:cs="仿宋"/>
          <w:kern w:val="0"/>
          <w:sz w:val="32"/>
          <w:szCs w:val="32"/>
          <w:highlight w:val="none"/>
        </w:rPr>
        <w:t>年、</w:t>
      </w:r>
      <w:r>
        <w:rPr>
          <w:rFonts w:hint="eastAsia" w:ascii="仿宋" w:hAnsi="仿宋" w:eastAsia="仿宋" w:cs="Arial"/>
          <w:kern w:val="0"/>
          <w:sz w:val="32"/>
          <w:szCs w:val="32"/>
          <w:highlight w:val="none"/>
        </w:rPr>
        <w:t>2018</w:t>
      </w:r>
      <w:r>
        <w:rPr>
          <w:rFonts w:hint="eastAsia" w:ascii="仿宋" w:hAnsi="仿宋" w:eastAsia="仿宋" w:cs="仿宋"/>
          <w:kern w:val="0"/>
          <w:sz w:val="32"/>
          <w:szCs w:val="32"/>
          <w:highlight w:val="none"/>
        </w:rPr>
        <w:t>年均无出国（境）费用需求，故未安排该项预；公务接待费支出决算为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万元，占</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，与</w:t>
      </w:r>
      <w:r>
        <w:rPr>
          <w:rFonts w:hint="eastAsia" w:ascii="仿宋" w:hAnsi="仿宋" w:eastAsia="仿宋" w:cs="Arial"/>
          <w:kern w:val="0"/>
          <w:sz w:val="32"/>
          <w:szCs w:val="32"/>
          <w:highlight w:val="none"/>
        </w:rPr>
        <w:t>2017</w:t>
      </w:r>
      <w:r>
        <w:rPr>
          <w:rFonts w:hint="eastAsia" w:ascii="仿宋" w:hAnsi="仿宋" w:eastAsia="仿宋" w:cs="仿宋"/>
          <w:kern w:val="0"/>
          <w:sz w:val="32"/>
          <w:szCs w:val="32"/>
          <w:highlight w:val="none"/>
        </w:rPr>
        <w:t>年度相比，增加</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减少</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万元，增长</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下降</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，主要原因是根据以前年度测算，</w:t>
      </w:r>
      <w:r>
        <w:rPr>
          <w:rFonts w:hint="eastAsia" w:ascii="仿宋" w:hAnsi="仿宋" w:eastAsia="仿宋" w:cs="Arial"/>
          <w:kern w:val="0"/>
          <w:sz w:val="32"/>
          <w:szCs w:val="32"/>
          <w:highlight w:val="none"/>
        </w:rPr>
        <w:t>2017</w:t>
      </w:r>
      <w:r>
        <w:rPr>
          <w:rFonts w:hint="eastAsia" w:ascii="仿宋" w:hAnsi="仿宋" w:eastAsia="仿宋" w:cs="仿宋"/>
          <w:kern w:val="0"/>
          <w:sz w:val="32"/>
          <w:szCs w:val="32"/>
          <w:highlight w:val="none"/>
        </w:rPr>
        <w:t>年、</w:t>
      </w:r>
      <w:r>
        <w:rPr>
          <w:rFonts w:hint="eastAsia" w:ascii="仿宋" w:hAnsi="仿宋" w:eastAsia="仿宋" w:cs="Arial"/>
          <w:kern w:val="0"/>
          <w:sz w:val="32"/>
          <w:szCs w:val="32"/>
          <w:highlight w:val="none"/>
        </w:rPr>
        <w:t>2018</w:t>
      </w:r>
      <w:r>
        <w:rPr>
          <w:rFonts w:hint="eastAsia" w:ascii="仿宋" w:hAnsi="仿宋" w:eastAsia="仿宋" w:cs="仿宋"/>
          <w:kern w:val="0"/>
          <w:sz w:val="32"/>
          <w:szCs w:val="32"/>
          <w:highlight w:val="none"/>
        </w:rPr>
        <w:t>年均无出国（境）费用需求，故未安排该项预。具体情况如下：</w:t>
      </w:r>
    </w:p>
    <w:p>
      <w:pPr>
        <w:keepNext w:val="0"/>
        <w:keepLines w:val="0"/>
        <w:widowControl/>
        <w:suppressLineNumbers w:val="0"/>
        <w:spacing w:line="600" w:lineRule="atLeast"/>
        <w:ind w:left="0" w:firstLine="640"/>
        <w:jc w:val="both"/>
        <w:rPr>
          <w:rFonts w:hint="eastAsia" w:ascii="宋体" w:hAnsi="宋体" w:eastAsia="宋体" w:cs="宋体"/>
          <w:kern w:val="0"/>
          <w:sz w:val="24"/>
          <w:szCs w:val="24"/>
          <w:highlight w:val="none"/>
        </w:rPr>
      </w:pPr>
      <w:r>
        <w:rPr>
          <w:rStyle w:val="6"/>
          <w:rFonts w:hint="eastAsia" w:ascii="仿宋" w:hAnsi="仿宋" w:eastAsia="仿宋" w:cs="仿宋"/>
          <w:sz w:val="32"/>
          <w:szCs w:val="32"/>
          <w:highlight w:val="none"/>
        </w:rPr>
        <w:t>（</w:t>
      </w:r>
      <w:r>
        <w:rPr>
          <w:rStyle w:val="6"/>
          <w:rFonts w:hint="eastAsia" w:ascii="仿宋" w:hAnsi="仿宋" w:eastAsia="仿宋" w:cs="Arial"/>
          <w:sz w:val="32"/>
          <w:szCs w:val="32"/>
          <w:highlight w:val="none"/>
        </w:rPr>
        <w:t>1</w:t>
      </w:r>
      <w:r>
        <w:rPr>
          <w:rStyle w:val="6"/>
          <w:rFonts w:hint="eastAsia" w:ascii="仿宋" w:hAnsi="仿宋" w:eastAsia="仿宋" w:cs="仿宋"/>
          <w:sz w:val="32"/>
          <w:szCs w:val="32"/>
          <w:highlight w:val="none"/>
        </w:rPr>
        <w:t>）因公出国（境）费</w:t>
      </w:r>
      <w:r>
        <w:rPr>
          <w:rFonts w:hint="eastAsia" w:ascii="仿宋" w:hAnsi="仿宋" w:eastAsia="仿宋" w:cs="仿宋"/>
          <w:kern w:val="0"/>
          <w:sz w:val="32"/>
          <w:szCs w:val="32"/>
          <w:highlight w:val="none"/>
        </w:rPr>
        <w:t>年初预算数为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万元，支出决算为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万元。完成年初预算的</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。主要用于机关及下属预算单位人员</w:t>
      </w:r>
      <w:r>
        <w:rPr>
          <w:rFonts w:hint="eastAsia" w:ascii="仿宋" w:hAnsi="仿宋" w:eastAsia="仿宋" w:cs="仿宋"/>
          <w:color w:val="000000"/>
          <w:kern w:val="0"/>
          <w:sz w:val="32"/>
          <w:szCs w:val="32"/>
          <w:highlight w:val="none"/>
        </w:rPr>
        <w:t>根据外事部门安排的因公出国计划和实际工作需要</w:t>
      </w:r>
      <w:r>
        <w:rPr>
          <w:rFonts w:hint="eastAsia" w:ascii="仿宋" w:hAnsi="仿宋" w:eastAsia="仿宋" w:cs="仿宋"/>
          <w:kern w:val="0"/>
          <w:sz w:val="32"/>
          <w:szCs w:val="32"/>
          <w:highlight w:val="none"/>
        </w:rPr>
        <w:t>等公务出国（境）产生的住宿费、国际旅费、培训费、公杂费等支出。</w:t>
      </w:r>
    </w:p>
    <w:p>
      <w:pPr>
        <w:keepNext w:val="0"/>
        <w:keepLines w:val="0"/>
        <w:widowControl/>
        <w:suppressLineNumbers w:val="0"/>
        <w:spacing w:line="600" w:lineRule="atLeast"/>
        <w:ind w:left="0" w:firstLine="640"/>
        <w:jc w:val="both"/>
        <w:rPr>
          <w:rFonts w:hint="eastAsia" w:ascii="宋体" w:hAnsi="宋体" w:eastAsia="宋体" w:cs="宋体"/>
          <w:kern w:val="0"/>
          <w:sz w:val="24"/>
          <w:szCs w:val="24"/>
          <w:highlight w:val="none"/>
        </w:rPr>
      </w:pPr>
      <w:r>
        <w:rPr>
          <w:rFonts w:hint="eastAsia" w:ascii="仿宋" w:hAnsi="仿宋" w:eastAsia="仿宋" w:cs="仿宋"/>
          <w:kern w:val="0"/>
          <w:sz w:val="32"/>
          <w:szCs w:val="32"/>
          <w:highlight w:val="none"/>
        </w:rPr>
        <w:t>其中，全年使用一般公共预算财政拨款本单位组织因公出国</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境</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团组</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个；本单位全年因公出国</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境</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累计</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人次。</w:t>
      </w:r>
    </w:p>
    <w:p>
      <w:pPr>
        <w:keepNext w:val="0"/>
        <w:keepLines w:val="0"/>
        <w:widowControl/>
        <w:suppressLineNumbers w:val="0"/>
        <w:spacing w:line="600" w:lineRule="atLeast"/>
        <w:ind w:left="0" w:firstLine="640"/>
        <w:jc w:val="both"/>
        <w:rPr>
          <w:rFonts w:hint="eastAsia" w:ascii="宋体" w:hAnsi="宋体" w:eastAsia="宋体" w:cs="宋体"/>
          <w:kern w:val="0"/>
          <w:sz w:val="24"/>
          <w:szCs w:val="24"/>
          <w:highlight w:val="none"/>
        </w:rPr>
      </w:pPr>
      <w:r>
        <w:rPr>
          <w:rStyle w:val="6"/>
          <w:rFonts w:hint="eastAsia" w:ascii="仿宋" w:hAnsi="仿宋" w:eastAsia="仿宋" w:cs="仿宋"/>
          <w:sz w:val="32"/>
          <w:szCs w:val="32"/>
          <w:highlight w:val="none"/>
        </w:rPr>
        <w:t>（</w:t>
      </w:r>
      <w:r>
        <w:rPr>
          <w:rStyle w:val="6"/>
          <w:rFonts w:hint="eastAsia" w:ascii="仿宋" w:hAnsi="仿宋" w:eastAsia="仿宋" w:cs="Arial"/>
          <w:sz w:val="32"/>
          <w:szCs w:val="32"/>
          <w:highlight w:val="none"/>
        </w:rPr>
        <w:t>2</w:t>
      </w:r>
      <w:r>
        <w:rPr>
          <w:rStyle w:val="6"/>
          <w:rFonts w:hint="eastAsia" w:ascii="仿宋" w:hAnsi="仿宋" w:eastAsia="仿宋" w:cs="仿宋"/>
          <w:sz w:val="32"/>
          <w:szCs w:val="32"/>
          <w:highlight w:val="none"/>
        </w:rPr>
        <w:t>）公务用车购置及运行维护费</w:t>
      </w:r>
      <w:r>
        <w:rPr>
          <w:rFonts w:hint="eastAsia" w:ascii="仿宋" w:hAnsi="仿宋" w:eastAsia="仿宋" w:cs="仿宋"/>
          <w:kern w:val="0"/>
          <w:sz w:val="32"/>
          <w:szCs w:val="32"/>
          <w:highlight w:val="none"/>
        </w:rPr>
        <w:t>年初预算数为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万元，支出决算为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万元，完成年初预算的</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w:t>
      </w:r>
    </w:p>
    <w:p>
      <w:pPr>
        <w:keepNext w:val="0"/>
        <w:keepLines w:val="0"/>
        <w:widowControl/>
        <w:suppressLineNumbers w:val="0"/>
        <w:spacing w:line="600" w:lineRule="atLeast"/>
        <w:ind w:left="0" w:firstLine="640"/>
        <w:jc w:val="both"/>
        <w:rPr>
          <w:rFonts w:hint="eastAsia" w:ascii="宋体" w:hAnsi="宋体" w:eastAsia="宋体" w:cs="宋体"/>
          <w:kern w:val="0"/>
          <w:sz w:val="24"/>
          <w:szCs w:val="24"/>
          <w:highlight w:val="none"/>
        </w:rPr>
      </w:pPr>
      <w:r>
        <w:rPr>
          <w:rStyle w:val="6"/>
          <w:rFonts w:hint="eastAsia" w:ascii="仿宋" w:hAnsi="仿宋" w:eastAsia="仿宋" w:cs="仿宋"/>
          <w:sz w:val="32"/>
          <w:szCs w:val="32"/>
          <w:highlight w:val="none"/>
        </w:rPr>
        <w:t>公务用车购置</w:t>
      </w:r>
      <w:r>
        <w:rPr>
          <w:rFonts w:hint="eastAsia" w:ascii="仿宋" w:hAnsi="仿宋" w:eastAsia="仿宋" w:cs="仿宋"/>
          <w:kern w:val="0"/>
          <w:sz w:val="32"/>
          <w:szCs w:val="32"/>
          <w:highlight w:val="none"/>
        </w:rPr>
        <w:t>支出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万元（含购置税等附加费用），主要用于经批准购置的</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辆公务用车；</w:t>
      </w:r>
    </w:p>
    <w:p>
      <w:pPr>
        <w:keepNext w:val="0"/>
        <w:keepLines w:val="0"/>
        <w:widowControl/>
        <w:suppressLineNumbers w:val="0"/>
        <w:spacing w:line="600" w:lineRule="atLeast"/>
        <w:ind w:left="0" w:firstLine="640"/>
        <w:jc w:val="both"/>
        <w:rPr>
          <w:rFonts w:hint="eastAsia" w:ascii="宋体" w:hAnsi="宋体" w:eastAsia="宋体" w:cs="宋体"/>
          <w:kern w:val="0"/>
          <w:sz w:val="24"/>
          <w:szCs w:val="24"/>
          <w:highlight w:val="none"/>
        </w:rPr>
      </w:pPr>
      <w:r>
        <w:rPr>
          <w:rStyle w:val="6"/>
          <w:rFonts w:hint="eastAsia" w:ascii="仿宋" w:hAnsi="仿宋" w:eastAsia="仿宋" w:cs="仿宋"/>
          <w:sz w:val="32"/>
          <w:szCs w:val="32"/>
          <w:highlight w:val="none"/>
        </w:rPr>
        <w:t>公务用车运行维护费</w:t>
      </w:r>
      <w:r>
        <w:rPr>
          <w:rFonts w:hint="eastAsia" w:ascii="仿宋" w:hAnsi="仿宋" w:eastAsia="仿宋" w:cs="仿宋"/>
          <w:kern w:val="0"/>
          <w:sz w:val="32"/>
          <w:szCs w:val="32"/>
          <w:highlight w:val="none"/>
        </w:rPr>
        <w:t>支出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万元，主要用于机关及下属预算单位人员</w:t>
      </w:r>
      <w:r>
        <w:rPr>
          <w:rFonts w:hint="eastAsia" w:ascii="仿宋" w:hAnsi="仿宋" w:eastAsia="仿宋" w:cs="仿宋"/>
          <w:color w:val="000000"/>
          <w:kern w:val="0"/>
          <w:sz w:val="32"/>
          <w:szCs w:val="32"/>
          <w:highlight w:val="none"/>
        </w:rPr>
        <w:t>公务用车购置及运行维护费</w:t>
      </w:r>
      <w:r>
        <w:rPr>
          <w:rFonts w:hint="eastAsia" w:ascii="仿宋" w:hAnsi="仿宋" w:eastAsia="仿宋" w:cs="仿宋"/>
          <w:kern w:val="0"/>
          <w:sz w:val="32"/>
          <w:szCs w:val="32"/>
          <w:highlight w:val="none"/>
        </w:rPr>
        <w:t>等所需的公务用车燃料费、维修费、过路过桥费、保险费、安全奖励费用等支出；</w:t>
      </w:r>
      <w:r>
        <w:rPr>
          <w:rFonts w:hint="eastAsia" w:ascii="仿宋" w:hAnsi="仿宋" w:eastAsia="仿宋" w:cs="Arial"/>
          <w:kern w:val="0"/>
          <w:sz w:val="32"/>
          <w:szCs w:val="32"/>
          <w:highlight w:val="none"/>
        </w:rPr>
        <w:t>2019年</w:t>
      </w:r>
      <w:r>
        <w:rPr>
          <w:rFonts w:hint="eastAsia" w:ascii="仿宋" w:hAnsi="仿宋" w:eastAsia="仿宋" w:cs="仿宋"/>
          <w:kern w:val="0"/>
          <w:sz w:val="32"/>
          <w:szCs w:val="32"/>
          <w:highlight w:val="none"/>
        </w:rPr>
        <w:t>度，本级及所属单位开支一般公共预算财政拨款的公务用车保有量为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辆。</w:t>
      </w:r>
    </w:p>
    <w:p>
      <w:pPr>
        <w:keepNext w:val="0"/>
        <w:keepLines w:val="0"/>
        <w:widowControl/>
        <w:suppressLineNumbers w:val="0"/>
        <w:spacing w:line="600" w:lineRule="atLeast"/>
        <w:ind w:left="0" w:firstLine="640"/>
        <w:jc w:val="both"/>
        <w:rPr>
          <w:rFonts w:hint="eastAsia" w:ascii="宋体" w:hAnsi="宋体" w:eastAsia="宋体" w:cs="宋体"/>
          <w:kern w:val="0"/>
          <w:sz w:val="24"/>
          <w:szCs w:val="24"/>
          <w:highlight w:val="none"/>
        </w:rPr>
      </w:pPr>
      <w:r>
        <w:rPr>
          <w:rStyle w:val="6"/>
          <w:rFonts w:hint="eastAsia" w:ascii="仿宋" w:hAnsi="仿宋" w:eastAsia="仿宋" w:cs="仿宋"/>
          <w:sz w:val="32"/>
          <w:szCs w:val="32"/>
          <w:highlight w:val="none"/>
        </w:rPr>
        <w:t>（</w:t>
      </w:r>
      <w:r>
        <w:rPr>
          <w:rStyle w:val="6"/>
          <w:rFonts w:hint="eastAsia" w:ascii="仿宋" w:hAnsi="仿宋" w:eastAsia="仿宋" w:cs="Arial"/>
          <w:sz w:val="32"/>
          <w:szCs w:val="32"/>
          <w:highlight w:val="none"/>
        </w:rPr>
        <w:t>3</w:t>
      </w:r>
      <w:r>
        <w:rPr>
          <w:rStyle w:val="6"/>
          <w:rFonts w:hint="eastAsia" w:ascii="仿宋" w:hAnsi="仿宋" w:eastAsia="仿宋" w:cs="仿宋"/>
          <w:sz w:val="32"/>
          <w:szCs w:val="32"/>
          <w:highlight w:val="none"/>
        </w:rPr>
        <w:t>）公务接待费</w:t>
      </w:r>
      <w:r>
        <w:rPr>
          <w:rFonts w:hint="eastAsia" w:ascii="仿宋" w:hAnsi="仿宋" w:eastAsia="仿宋" w:cs="仿宋"/>
          <w:kern w:val="0"/>
          <w:sz w:val="32"/>
          <w:szCs w:val="32"/>
          <w:highlight w:val="none"/>
        </w:rPr>
        <w:t>年初预算数为</w:t>
      </w:r>
      <w:r>
        <w:rPr>
          <w:rFonts w:hint="eastAsia" w:ascii="仿宋" w:hAnsi="仿宋" w:eastAsia="仿宋" w:cs="Arial"/>
          <w:kern w:val="0"/>
          <w:sz w:val="32"/>
          <w:szCs w:val="32"/>
          <w:highlight w:val="none"/>
        </w:rPr>
        <w:t>0.50</w:t>
      </w:r>
      <w:r>
        <w:rPr>
          <w:rFonts w:hint="eastAsia" w:ascii="仿宋" w:hAnsi="仿宋" w:eastAsia="仿宋" w:cs="仿宋"/>
          <w:kern w:val="0"/>
          <w:sz w:val="32"/>
          <w:szCs w:val="32"/>
          <w:highlight w:val="none"/>
        </w:rPr>
        <w:t>万元，支出决算为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万元，完成年初预算的</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。全年使用一般公共预算财政拨款国内公务接待</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批次，累计</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人次。</w:t>
      </w:r>
    </w:p>
    <w:p>
      <w:pPr>
        <w:keepNext w:val="0"/>
        <w:keepLines w:val="0"/>
        <w:widowControl/>
        <w:suppressLineNumbers w:val="0"/>
        <w:spacing w:line="600" w:lineRule="atLeast"/>
        <w:ind w:left="0" w:firstLine="640"/>
        <w:jc w:val="both"/>
        <w:rPr>
          <w:rFonts w:hint="eastAsia" w:ascii="宋体" w:hAnsi="宋体" w:eastAsia="宋体" w:cs="宋体"/>
          <w:kern w:val="0"/>
          <w:sz w:val="24"/>
          <w:szCs w:val="24"/>
          <w:highlight w:val="none"/>
        </w:rPr>
      </w:pPr>
      <w:r>
        <w:rPr>
          <w:rStyle w:val="6"/>
          <w:rFonts w:hint="eastAsia" w:ascii="仿宋" w:hAnsi="仿宋" w:eastAsia="仿宋" w:cs="仿宋"/>
          <w:sz w:val="32"/>
          <w:szCs w:val="32"/>
          <w:highlight w:val="none"/>
        </w:rPr>
        <w:t>外宾接待</w:t>
      </w:r>
      <w:r>
        <w:rPr>
          <w:rFonts w:hint="eastAsia" w:ascii="仿宋" w:hAnsi="仿宋" w:eastAsia="仿宋" w:cs="仿宋"/>
          <w:kern w:val="0"/>
          <w:sz w:val="32"/>
          <w:szCs w:val="32"/>
          <w:highlight w:val="none"/>
        </w:rPr>
        <w:t>支出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万元；接待</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人次，</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批次。</w:t>
      </w:r>
    </w:p>
    <w:p>
      <w:pPr>
        <w:keepNext w:val="0"/>
        <w:keepLines w:val="0"/>
        <w:widowControl/>
        <w:suppressLineNumbers w:val="0"/>
        <w:spacing w:line="600" w:lineRule="atLeast"/>
        <w:ind w:left="0" w:firstLine="640"/>
        <w:jc w:val="both"/>
        <w:rPr>
          <w:rFonts w:hint="eastAsia" w:ascii="宋体" w:hAnsi="宋体" w:eastAsia="宋体" w:cs="宋体"/>
          <w:kern w:val="0"/>
          <w:sz w:val="24"/>
          <w:szCs w:val="24"/>
          <w:highlight w:val="none"/>
        </w:rPr>
      </w:pPr>
      <w:r>
        <w:rPr>
          <w:rStyle w:val="6"/>
          <w:rFonts w:hint="eastAsia" w:ascii="仿宋" w:hAnsi="仿宋" w:eastAsia="仿宋" w:cs="仿宋"/>
          <w:sz w:val="32"/>
          <w:szCs w:val="32"/>
          <w:highlight w:val="none"/>
        </w:rPr>
        <w:t>其他国内公务接待</w:t>
      </w:r>
      <w:r>
        <w:rPr>
          <w:rFonts w:hint="eastAsia" w:ascii="仿宋" w:hAnsi="仿宋" w:eastAsia="仿宋" w:cs="仿宋"/>
          <w:kern w:val="0"/>
          <w:sz w:val="32"/>
          <w:szCs w:val="32"/>
          <w:highlight w:val="none"/>
        </w:rPr>
        <w:t>支出</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万元。接待</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人次，</w:t>
      </w:r>
      <w:r>
        <w:rPr>
          <w:rFonts w:hint="eastAsia" w:ascii="仿宋" w:hAnsi="仿宋" w:eastAsia="仿宋" w:cs="Arial"/>
          <w:kern w:val="0"/>
          <w:sz w:val="32"/>
          <w:szCs w:val="32"/>
          <w:highlight w:val="none"/>
        </w:rPr>
        <w:t>0</w:t>
      </w:r>
      <w:r>
        <w:rPr>
          <w:rFonts w:hint="eastAsia" w:ascii="仿宋" w:hAnsi="仿宋" w:eastAsia="仿宋" w:cs="仿宋"/>
          <w:kern w:val="0"/>
          <w:sz w:val="32"/>
          <w:szCs w:val="32"/>
          <w:highlight w:val="none"/>
        </w:rPr>
        <w:t>批次。</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楷体" w:hAnsi="楷体" w:eastAsia="楷体" w:cs="楷体"/>
          <w:b/>
          <w:kern w:val="0"/>
          <w:sz w:val="32"/>
          <w:szCs w:val="32"/>
          <w:highlight w:val="none"/>
          <w:shd w:val="clear" w:fill="FFFFFF"/>
        </w:rPr>
        <w:t>（九）部门预算绩效情况说明</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仿宋" w:hAnsi="仿宋" w:eastAsia="仿宋" w:cs="Arial"/>
          <w:b/>
          <w:kern w:val="0"/>
          <w:sz w:val="32"/>
          <w:szCs w:val="32"/>
          <w:highlight w:val="none"/>
          <w:shd w:val="clear" w:fill="FFFFFF"/>
        </w:rPr>
        <w:t>1.预算绩效管理工作开展情况。</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highlight w:val="none"/>
          <w:shd w:val="clear" w:fill="FFFFFF"/>
        </w:rPr>
      </w:pPr>
      <w:r>
        <w:rPr>
          <w:rFonts w:hint="eastAsia" w:ascii="仿宋" w:hAnsi="仿宋" w:eastAsia="仿宋" w:cs="仿宋"/>
          <w:kern w:val="0"/>
          <w:sz w:val="32"/>
          <w:szCs w:val="32"/>
          <w:highlight w:val="none"/>
          <w:shd w:val="clear" w:fill="FFFFFF"/>
        </w:rPr>
        <w:t>根据预算绩效管理要求，鹿城区规划编研中心组织对</w:t>
      </w:r>
      <w:r>
        <w:rPr>
          <w:rFonts w:hint="eastAsia" w:ascii="仿宋" w:hAnsi="仿宋" w:eastAsia="仿宋" w:cs="Arial"/>
          <w:kern w:val="0"/>
          <w:sz w:val="32"/>
          <w:szCs w:val="32"/>
          <w:highlight w:val="none"/>
          <w:shd w:val="clear" w:fill="FFFFFF"/>
        </w:rPr>
        <w:t>2019年度一般公共预算项目支出全面开展绩效自评，其中，一级项目1</w:t>
      </w:r>
      <w:r>
        <w:rPr>
          <w:rFonts w:hint="eastAsia" w:ascii="仿宋" w:hAnsi="仿宋" w:eastAsia="仿宋" w:cs="仿宋"/>
          <w:kern w:val="0"/>
          <w:sz w:val="32"/>
          <w:szCs w:val="32"/>
          <w:highlight w:val="none"/>
          <w:shd w:val="clear" w:fill="FFFFFF"/>
        </w:rPr>
        <w:t>个，二级项目</w:t>
      </w:r>
      <w:r>
        <w:rPr>
          <w:rFonts w:hint="eastAsia" w:ascii="仿宋" w:hAnsi="仿宋" w:eastAsia="仿宋" w:cs="Arial"/>
          <w:kern w:val="0"/>
          <w:sz w:val="32"/>
          <w:szCs w:val="32"/>
          <w:highlight w:val="none"/>
          <w:shd w:val="clear" w:fill="FFFFFF"/>
        </w:rPr>
        <w:t>0</w:t>
      </w:r>
      <w:r>
        <w:rPr>
          <w:rFonts w:hint="eastAsia" w:ascii="仿宋" w:hAnsi="仿宋" w:eastAsia="仿宋" w:cs="仿宋"/>
          <w:kern w:val="0"/>
          <w:sz w:val="32"/>
          <w:szCs w:val="32"/>
          <w:highlight w:val="none"/>
          <w:shd w:val="clear" w:fill="FFFFFF"/>
        </w:rPr>
        <w:t>个，共涉及资金</w:t>
      </w:r>
      <w:r>
        <w:rPr>
          <w:rFonts w:hint="eastAsia" w:ascii="仿宋" w:hAnsi="仿宋" w:eastAsia="仿宋" w:cs="Arial"/>
          <w:kern w:val="0"/>
          <w:sz w:val="32"/>
          <w:szCs w:val="32"/>
          <w:highlight w:val="none"/>
          <w:shd w:val="clear" w:fill="FFFFFF"/>
        </w:rPr>
        <w:t>330.81</w:t>
      </w:r>
      <w:r>
        <w:rPr>
          <w:rFonts w:hint="eastAsia" w:ascii="仿宋" w:hAnsi="仿宋" w:eastAsia="仿宋" w:cs="仿宋"/>
          <w:kern w:val="0"/>
          <w:sz w:val="32"/>
          <w:szCs w:val="32"/>
          <w:highlight w:val="none"/>
          <w:shd w:val="clear" w:fill="FFFFFF"/>
        </w:rPr>
        <w:t>万元，占一般公共预算项目支出总额的</w:t>
      </w:r>
      <w:r>
        <w:rPr>
          <w:rFonts w:hint="eastAsia" w:ascii="仿宋" w:hAnsi="仿宋" w:eastAsia="仿宋" w:cs="Arial"/>
          <w:kern w:val="0"/>
          <w:sz w:val="32"/>
          <w:szCs w:val="32"/>
          <w:highlight w:val="none"/>
          <w:shd w:val="clear" w:fill="FFFFFF"/>
        </w:rPr>
        <w:t>100%。</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rPr>
        <w:t>组织对0个项目开展了部门评价，涉及一般公共预算支出0万元，政府性基金预算支出0万元。</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仿宋"/>
          <w:kern w:val="0"/>
          <w:sz w:val="32"/>
          <w:szCs w:val="32"/>
          <w:highlight w:val="none"/>
          <w:shd w:val="clear" w:fill="FFFFFF"/>
        </w:rPr>
      </w:pPr>
      <w:r>
        <w:rPr>
          <w:rFonts w:hint="eastAsia" w:ascii="仿宋" w:hAnsi="仿宋" w:eastAsia="仿宋" w:cs="仿宋"/>
          <w:kern w:val="0"/>
          <w:sz w:val="32"/>
          <w:szCs w:val="32"/>
        </w:rPr>
        <w:t>组织对0个部门（单位）开展整体支出绩效评价试点，涉及一般公共预算支出0万元，政府性基金预算支出0万元。</w:t>
      </w:r>
    </w:p>
    <w:p>
      <w:pPr>
        <w:keepNext w:val="0"/>
        <w:keepLines w:val="0"/>
        <w:widowControl/>
        <w:numPr>
          <w:ilvl w:val="0"/>
          <w:numId w:val="0"/>
        </w:numPr>
        <w:suppressLineNumbers w:val="0"/>
        <w:spacing w:before="0" w:beforeAutospacing="0" w:after="0" w:afterAutospacing="0" w:line="600" w:lineRule="atLeast"/>
        <w:ind w:left="640" w:leftChars="0" w:right="0" w:rightChars="0"/>
        <w:jc w:val="both"/>
        <w:rPr>
          <w:rFonts w:hint="eastAsia" w:ascii="仿宋" w:hAnsi="仿宋" w:eastAsia="仿宋" w:cs="Arial"/>
          <w:b/>
          <w:kern w:val="0"/>
          <w:sz w:val="32"/>
          <w:szCs w:val="32"/>
          <w:highlight w:val="none"/>
          <w:shd w:val="clear" w:fill="FFFFFF"/>
        </w:rPr>
      </w:pPr>
      <w:r>
        <w:rPr>
          <w:rStyle w:val="5"/>
          <w:rFonts w:hint="eastAsia" w:ascii="仿宋" w:hAnsi="仿宋" w:eastAsia="仿宋" w:cs="仿宋"/>
          <w:b/>
          <w:kern w:val="0"/>
          <w:sz w:val="32"/>
          <w:szCs w:val="32"/>
          <w:highlight w:val="none"/>
          <w:shd w:val="clear" w:fill="FFFFFF"/>
          <w:lang w:val="en-US" w:eastAsia="zh-CN"/>
        </w:rPr>
        <w:t>2.</w:t>
      </w:r>
      <w:r>
        <w:rPr>
          <w:rStyle w:val="5"/>
          <w:rFonts w:hint="eastAsia" w:ascii="仿宋" w:hAnsi="仿宋" w:eastAsia="仿宋" w:cs="仿宋"/>
          <w:b/>
          <w:kern w:val="0"/>
          <w:sz w:val="32"/>
          <w:szCs w:val="32"/>
          <w:highlight w:val="none"/>
          <w:shd w:val="clear" w:fill="FFFFFF"/>
        </w:rPr>
        <w:t>部门决算中项目绩效自评结果（</w:t>
      </w:r>
      <w:r>
        <w:rPr>
          <w:rStyle w:val="5"/>
          <w:rFonts w:hint="eastAsia" w:ascii="仿宋" w:hAnsi="仿宋" w:eastAsia="仿宋" w:cs="仿宋"/>
          <w:b/>
          <w:kern w:val="0"/>
          <w:sz w:val="32"/>
          <w:szCs w:val="32"/>
          <w:highlight w:val="none"/>
          <w:shd w:val="clear" w:fill="FFFFFF"/>
          <w:lang w:val="en-US" w:eastAsia="zh-CN"/>
        </w:rPr>
        <w:t>单位仅有1个项目，已全部</w:t>
      </w:r>
      <w:r>
        <w:rPr>
          <w:rStyle w:val="5"/>
          <w:rFonts w:hint="eastAsia" w:ascii="仿宋" w:hAnsi="仿宋" w:eastAsia="仿宋" w:cs="仿宋"/>
          <w:b/>
          <w:kern w:val="0"/>
          <w:sz w:val="32"/>
          <w:szCs w:val="32"/>
          <w:highlight w:val="none"/>
          <w:shd w:val="clear" w:fill="FFFFFF"/>
        </w:rPr>
        <w:t>公开</w:t>
      </w:r>
      <w:r>
        <w:rPr>
          <w:rStyle w:val="5"/>
          <w:rFonts w:hint="eastAsia" w:ascii="仿宋" w:hAnsi="仿宋" w:eastAsia="仿宋" w:cs="Arial"/>
          <w:b/>
          <w:kern w:val="0"/>
          <w:sz w:val="32"/>
          <w:szCs w:val="32"/>
          <w:highlight w:val="none"/>
          <w:shd w:val="clear" w:fill="FFFFFF"/>
        </w:rPr>
        <w:t>，附绩效自评表）</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仿宋"/>
          <w:kern w:val="0"/>
          <w:sz w:val="32"/>
          <w:szCs w:val="32"/>
          <w:highlight w:val="none"/>
          <w:shd w:val="clear" w:fill="FFFFFF"/>
        </w:rPr>
        <w:t>鹿城区规划编研中心在</w:t>
      </w:r>
      <w:r>
        <w:rPr>
          <w:rFonts w:hint="eastAsia" w:ascii="仿宋" w:hAnsi="仿宋" w:eastAsia="仿宋" w:cs="Arial"/>
          <w:kern w:val="0"/>
          <w:sz w:val="32"/>
          <w:szCs w:val="32"/>
          <w:highlight w:val="none"/>
          <w:shd w:val="clear" w:fill="FFFFFF"/>
        </w:rPr>
        <w:t>2019年度部门决算中反映</w:t>
      </w:r>
      <w:r>
        <w:rPr>
          <w:rFonts w:hint="eastAsia" w:ascii="仿宋" w:hAnsi="仿宋" w:eastAsia="仿宋" w:cs="仿宋"/>
          <w:kern w:val="0"/>
          <w:sz w:val="32"/>
          <w:szCs w:val="32"/>
          <w:highlight w:val="none"/>
          <w:shd w:val="clear" w:fill="FFFFFF"/>
        </w:rPr>
        <w:t>规划编制工作经费的项目绩效自评结果。</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仿宋"/>
          <w:kern w:val="0"/>
          <w:sz w:val="32"/>
          <w:szCs w:val="32"/>
          <w:highlight w:val="none"/>
          <w:shd w:val="clear" w:fill="FFFFFF"/>
        </w:rPr>
      </w:pPr>
      <w:r>
        <w:rPr>
          <w:rFonts w:hint="eastAsia" w:ascii="仿宋" w:hAnsi="仿宋" w:eastAsia="仿宋" w:cs="仿宋"/>
          <w:kern w:val="0"/>
          <w:sz w:val="32"/>
          <w:szCs w:val="32"/>
          <w:highlight w:val="none"/>
          <w:shd w:val="clear" w:fill="FFFFFF"/>
        </w:rPr>
        <w:t>规划编制工作经费项目绩效自评综述：根据年初设定的绩效目标，项目自评得分</w:t>
      </w:r>
      <w:r>
        <w:rPr>
          <w:rFonts w:hint="eastAsia" w:ascii="仿宋" w:hAnsi="仿宋" w:eastAsia="仿宋" w:cs="Arial"/>
          <w:kern w:val="0"/>
          <w:sz w:val="32"/>
          <w:szCs w:val="32"/>
          <w:highlight w:val="none"/>
          <w:shd w:val="clear" w:fill="FFFFFF"/>
        </w:rPr>
        <w:t>93</w:t>
      </w:r>
      <w:r>
        <w:rPr>
          <w:rFonts w:hint="eastAsia" w:ascii="仿宋" w:hAnsi="仿宋" w:eastAsia="仿宋" w:cs="仿宋"/>
          <w:kern w:val="0"/>
          <w:sz w:val="32"/>
          <w:szCs w:val="32"/>
          <w:highlight w:val="none"/>
          <w:shd w:val="clear" w:fill="FFFFFF"/>
        </w:rPr>
        <w:t>分，自评结论为</w:t>
      </w:r>
      <w:r>
        <w:rPr>
          <w:rFonts w:hint="eastAsia" w:ascii="仿宋" w:hAnsi="仿宋" w:eastAsia="仿宋" w:cs="Arial"/>
          <w:kern w:val="0"/>
          <w:sz w:val="32"/>
          <w:szCs w:val="32"/>
          <w:highlight w:val="none"/>
          <w:shd w:val="clear" w:fill="FFFFFF"/>
        </w:rPr>
        <w:t>“</w:t>
      </w:r>
      <w:r>
        <w:rPr>
          <w:rFonts w:hint="eastAsia" w:ascii="仿宋" w:hAnsi="仿宋" w:eastAsia="仿宋" w:cs="仿宋"/>
          <w:kern w:val="0"/>
          <w:sz w:val="32"/>
          <w:szCs w:val="32"/>
          <w:highlight w:val="none"/>
          <w:shd w:val="clear" w:fill="FFFFFF"/>
        </w:rPr>
        <w:t>优秀</w:t>
      </w:r>
      <w:r>
        <w:rPr>
          <w:rFonts w:hint="eastAsia" w:ascii="仿宋" w:hAnsi="仿宋" w:eastAsia="仿宋" w:cs="Arial"/>
          <w:kern w:val="0"/>
          <w:sz w:val="32"/>
          <w:szCs w:val="32"/>
          <w:highlight w:val="none"/>
          <w:shd w:val="clear" w:fill="FFFFFF"/>
        </w:rPr>
        <w:t>”。项目全年预算数为440.95</w:t>
      </w:r>
      <w:r>
        <w:rPr>
          <w:rFonts w:hint="eastAsia" w:ascii="仿宋" w:hAnsi="仿宋" w:eastAsia="仿宋" w:cs="仿宋"/>
          <w:kern w:val="0"/>
          <w:sz w:val="32"/>
          <w:szCs w:val="32"/>
          <w:highlight w:val="none"/>
          <w:shd w:val="clear" w:fill="FFFFFF"/>
        </w:rPr>
        <w:t>万元，执行数为</w:t>
      </w:r>
      <w:r>
        <w:rPr>
          <w:rFonts w:hint="eastAsia" w:ascii="仿宋" w:hAnsi="仿宋" w:eastAsia="仿宋" w:cs="Arial"/>
          <w:kern w:val="0"/>
          <w:sz w:val="32"/>
          <w:szCs w:val="32"/>
          <w:highlight w:val="none"/>
          <w:shd w:val="clear" w:fill="FFFFFF"/>
        </w:rPr>
        <w:t>330.81</w:t>
      </w:r>
      <w:r>
        <w:rPr>
          <w:rFonts w:hint="eastAsia" w:ascii="仿宋" w:hAnsi="仿宋" w:eastAsia="仿宋" w:cs="仿宋"/>
          <w:kern w:val="0"/>
          <w:sz w:val="32"/>
          <w:szCs w:val="32"/>
          <w:highlight w:val="none"/>
          <w:shd w:val="clear" w:fill="FFFFFF"/>
        </w:rPr>
        <w:t>万元，完成预算的</w:t>
      </w:r>
      <w:r>
        <w:rPr>
          <w:rFonts w:hint="eastAsia" w:ascii="仿宋" w:hAnsi="仿宋" w:eastAsia="仿宋" w:cs="Arial"/>
          <w:kern w:val="0"/>
          <w:sz w:val="32"/>
          <w:szCs w:val="32"/>
          <w:highlight w:val="none"/>
          <w:shd w:val="clear" w:fill="FFFFFF"/>
        </w:rPr>
        <w:t>75.02%。</w:t>
      </w:r>
      <w:r>
        <w:rPr>
          <w:rFonts w:hint="eastAsia" w:ascii="仿宋" w:hAnsi="仿宋" w:eastAsia="仿宋" w:cs="仿宋"/>
          <w:kern w:val="0"/>
          <w:sz w:val="32"/>
          <w:szCs w:val="32"/>
          <w:highlight w:val="none"/>
          <w:shd w:val="clear" w:fill="FFFFFF"/>
        </w:rPr>
        <w:t>项目绩效目标完成情况：主要围绕全域谋划，</w:t>
      </w:r>
      <w:r>
        <w:rPr>
          <w:rFonts w:hint="eastAsia" w:ascii="仿宋" w:hAnsi="仿宋" w:eastAsia="仿宋" w:cs="仿宋"/>
          <w:kern w:val="0"/>
          <w:sz w:val="32"/>
          <w:szCs w:val="32"/>
          <w:highlight w:val="none"/>
          <w:shd w:val="clear" w:fill="FFFFFF"/>
          <w:lang w:eastAsia="zh-CN"/>
        </w:rPr>
        <w:t>做出</w:t>
      </w:r>
      <w:r>
        <w:rPr>
          <w:rFonts w:hint="eastAsia" w:ascii="仿宋" w:hAnsi="仿宋" w:eastAsia="仿宋" w:cs="仿宋"/>
          <w:kern w:val="0"/>
          <w:sz w:val="32"/>
          <w:szCs w:val="32"/>
          <w:highlight w:val="none"/>
          <w:shd w:val="clear" w:fill="FFFFFF"/>
        </w:rPr>
        <w:t>让前期研究，控规修改（修编），基础设施规划方面进行开展工作，基本履行了区域内各类城镇规划的编制和研究等单位主要职责。完成全域谋划类项目</w:t>
      </w:r>
      <w:r>
        <w:rPr>
          <w:rFonts w:hint="eastAsia" w:ascii="仿宋" w:hAnsi="仿宋" w:eastAsia="仿宋" w:cs="Arial"/>
          <w:kern w:val="0"/>
          <w:sz w:val="32"/>
          <w:szCs w:val="32"/>
          <w:highlight w:val="none"/>
          <w:shd w:val="clear" w:fill="FFFFFF"/>
        </w:rPr>
        <w:t>3个：《2020年规划实施建议》、《2019-2020年鹿城区做地规划研究》、《2019年鹿城区控规图册汇编》；控规修改（修编）类</w:t>
      </w:r>
      <w:r>
        <w:rPr>
          <w:rFonts w:hint="eastAsia" w:ascii="仿宋" w:hAnsi="仿宋" w:eastAsia="仿宋" w:cs="仿宋"/>
          <w:kern w:val="0"/>
          <w:sz w:val="32"/>
          <w:szCs w:val="32"/>
          <w:highlight w:val="none"/>
          <w:shd w:val="clear" w:fill="FFFFFF"/>
        </w:rPr>
        <w:t>项目</w:t>
      </w:r>
      <w:r>
        <w:rPr>
          <w:rFonts w:hint="eastAsia" w:ascii="仿宋" w:hAnsi="仿宋" w:eastAsia="仿宋" w:cs="Arial"/>
          <w:kern w:val="0"/>
          <w:sz w:val="32"/>
          <w:szCs w:val="32"/>
          <w:highlight w:val="none"/>
          <w:shd w:val="clear" w:fill="FFFFFF"/>
        </w:rPr>
        <w:t>8个：《黄龙商贸城街坊控规修编》、《南门单元E-02E-24E-30地块控规》、《洪殿单元F-23至F-25地块》等</w:t>
      </w:r>
      <w:r>
        <w:rPr>
          <w:rFonts w:hint="eastAsia" w:ascii="仿宋" w:hAnsi="仿宋" w:eastAsia="仿宋" w:cs="仿宋"/>
          <w:kern w:val="0"/>
          <w:sz w:val="32"/>
          <w:szCs w:val="32"/>
          <w:highlight w:val="none"/>
          <w:shd w:val="clear" w:fill="FFFFFF"/>
        </w:rPr>
        <w:t>：公共配套三年行动计划类项目</w:t>
      </w:r>
      <w:r>
        <w:rPr>
          <w:rFonts w:hint="eastAsia" w:ascii="仿宋" w:hAnsi="仿宋" w:eastAsia="仿宋" w:cs="Arial"/>
          <w:kern w:val="0"/>
          <w:sz w:val="32"/>
          <w:szCs w:val="32"/>
          <w:highlight w:val="none"/>
          <w:shd w:val="clear" w:fill="FFFFFF"/>
        </w:rPr>
        <w:t>4个：《加油站建设三年行动计划》、《老年人服务设施建设三年行动计划》等；城市设计类</w:t>
      </w:r>
      <w:r>
        <w:rPr>
          <w:rFonts w:hint="eastAsia" w:ascii="仿宋" w:hAnsi="仿宋" w:eastAsia="仿宋" w:cs="仿宋"/>
          <w:kern w:val="0"/>
          <w:sz w:val="32"/>
          <w:szCs w:val="32"/>
          <w:highlight w:val="none"/>
          <w:shd w:val="clear" w:fill="FFFFFF"/>
        </w:rPr>
        <w:t>项目</w:t>
      </w:r>
      <w:r>
        <w:rPr>
          <w:rFonts w:hint="eastAsia" w:ascii="仿宋" w:hAnsi="仿宋" w:eastAsia="仿宋" w:cs="Arial"/>
          <w:kern w:val="0"/>
          <w:sz w:val="32"/>
          <w:szCs w:val="32"/>
          <w:highlight w:val="none"/>
          <w:shd w:val="clear" w:fill="FFFFFF"/>
        </w:rPr>
        <w:t>1个：《中央涂单元城市设计》。</w:t>
      </w:r>
      <w:r>
        <w:rPr>
          <w:rFonts w:hint="eastAsia" w:ascii="仿宋" w:hAnsi="仿宋" w:eastAsia="仿宋" w:cs="Arial"/>
          <w:kern w:val="0"/>
          <w:sz w:val="32"/>
          <w:szCs w:val="32"/>
          <w:highlight w:val="none"/>
          <w:shd w:val="clear" w:fill="FFFFFF"/>
          <w:lang w:val="en-US" w:eastAsia="zh-CN"/>
        </w:rPr>
        <w:t>发现问题：无。</w:t>
      </w:r>
      <w:r>
        <w:rPr>
          <w:rFonts w:hint="eastAsia" w:ascii="仿宋" w:hAnsi="仿宋" w:eastAsia="仿宋" w:cs="Arial"/>
          <w:kern w:val="0"/>
          <w:sz w:val="32"/>
          <w:szCs w:val="32"/>
          <w:highlight w:val="none"/>
          <w:shd w:val="clear" w:fill="FFFFFF"/>
        </w:rPr>
        <w:t>下一步改进措施：</w:t>
      </w:r>
      <w:r>
        <w:rPr>
          <w:rFonts w:hint="eastAsia" w:ascii="仿宋" w:hAnsi="仿宋" w:eastAsia="仿宋" w:cs="仿宋"/>
          <w:kern w:val="0"/>
          <w:sz w:val="32"/>
          <w:szCs w:val="32"/>
          <w:highlight w:val="none"/>
          <w:shd w:val="clear" w:fill="FFFFFF"/>
        </w:rPr>
        <w:t>进一步科学、合理的编制预算，提高项目执行率，更好的发挥财政资金使用效益。</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仿宋"/>
          <w:kern w:val="0"/>
          <w:sz w:val="32"/>
          <w:szCs w:val="32"/>
          <w:highlight w:val="none"/>
          <w:shd w:val="clear" w:fill="FFFFFF"/>
        </w:rPr>
      </w:pPr>
      <w:r>
        <w:rPr>
          <w:rFonts w:hint="eastAsia" w:ascii="仿宋" w:hAnsi="仿宋" w:eastAsia="仿宋" w:cs="仿宋"/>
          <w:kern w:val="0"/>
          <w:sz w:val="32"/>
          <w:szCs w:val="32"/>
          <w:highlight w:val="none"/>
          <w:shd w:val="clear" w:fill="FFFFFF"/>
        </w:rPr>
        <w:t>鹿城区规划编研中心2019年度只有“规划编制工作经费”这一个项目，故2019年度只公开1个项目绩效自评结果。项目绩效自评内容及结果详见附表：《2019年度鹿城区财政支出项目绩效评分表》</w:t>
      </w:r>
    </w:p>
    <w:tbl>
      <w:tblPr>
        <w:tblStyle w:val="2"/>
        <w:tblpPr w:leftFromText="180" w:rightFromText="180" w:vertAnchor="text" w:horzAnchor="page" w:tblpX="2544" w:tblpY="412"/>
        <w:tblOverlap w:val="never"/>
        <w:tblW w:w="8863" w:type="dxa"/>
        <w:tblInd w:w="0" w:type="dxa"/>
        <w:shd w:val="clear" w:color="auto" w:fill="auto"/>
        <w:tblLayout w:type="fixed"/>
        <w:tblCellMar>
          <w:top w:w="0" w:type="dxa"/>
          <w:left w:w="0" w:type="dxa"/>
          <w:bottom w:w="0" w:type="dxa"/>
          <w:right w:w="0" w:type="dxa"/>
        </w:tblCellMar>
      </w:tblPr>
      <w:tblGrid>
        <w:gridCol w:w="1938"/>
        <w:gridCol w:w="737"/>
        <w:gridCol w:w="1628"/>
        <w:gridCol w:w="1492"/>
        <w:gridCol w:w="1183"/>
        <w:gridCol w:w="1165"/>
        <w:gridCol w:w="720"/>
      </w:tblGrid>
      <w:tr>
        <w:tblPrEx>
          <w:shd w:val="clear" w:color="auto" w:fill="auto"/>
          <w:tblCellMar>
            <w:top w:w="0" w:type="dxa"/>
            <w:left w:w="0" w:type="dxa"/>
            <w:bottom w:w="0" w:type="dxa"/>
            <w:right w:w="0" w:type="dxa"/>
          </w:tblCellMar>
        </w:tblPrEx>
        <w:trPr>
          <w:trHeight w:val="450" w:hRule="atLeast"/>
        </w:trPr>
        <w:tc>
          <w:tcPr>
            <w:tcW w:w="8863"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44"/>
                <w:szCs w:val="44"/>
                <w:highlight w:val="none"/>
              </w:rPr>
            </w:pPr>
            <w:r>
              <w:rPr>
                <w:rFonts w:hint="eastAsia" w:ascii="宋体" w:hAnsi="宋体" w:eastAsia="宋体" w:cs="宋体"/>
                <w:i w:val="0"/>
                <w:color w:val="000000"/>
                <w:kern w:val="0"/>
                <w:sz w:val="44"/>
                <w:szCs w:val="44"/>
                <w:highlight w:val="none"/>
              </w:rPr>
              <w:t>附表：</w:t>
            </w:r>
          </w:p>
          <w:p>
            <w:pPr>
              <w:keepNext w:val="0"/>
              <w:keepLines w:val="0"/>
              <w:widowControl/>
              <w:suppressLineNumbers w:val="0"/>
              <w:jc w:val="center"/>
              <w:textAlignment w:val="center"/>
              <w:rPr>
                <w:rFonts w:hint="eastAsia" w:ascii="宋体" w:hAnsi="宋体" w:eastAsia="宋体" w:cs="宋体"/>
                <w:i w:val="0"/>
                <w:color w:val="000000"/>
                <w:kern w:val="0"/>
                <w:sz w:val="44"/>
                <w:szCs w:val="44"/>
                <w:highlight w:val="none"/>
              </w:rPr>
            </w:pPr>
            <w:r>
              <w:rPr>
                <w:rFonts w:hint="eastAsia" w:ascii="宋体" w:hAnsi="宋体" w:eastAsia="宋体" w:cs="宋体"/>
                <w:i w:val="0"/>
                <w:color w:val="000000"/>
                <w:kern w:val="0"/>
                <w:sz w:val="44"/>
                <w:szCs w:val="44"/>
                <w:highlight w:val="none"/>
              </w:rPr>
              <w:t>2019年度鹿城区财政支出项目绩效评分表</w:t>
            </w:r>
          </w:p>
        </w:tc>
      </w:tr>
      <w:tr>
        <w:tblPrEx>
          <w:shd w:val="clear" w:color="auto" w:fill="auto"/>
          <w:tblCellMar>
            <w:top w:w="0" w:type="dxa"/>
            <w:left w:w="0" w:type="dxa"/>
            <w:bottom w:w="0" w:type="dxa"/>
            <w:right w:w="0" w:type="dxa"/>
          </w:tblCellMar>
        </w:tblPrEx>
        <w:trPr>
          <w:trHeight w:val="380"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项目单位名称</w:t>
            </w:r>
          </w:p>
        </w:tc>
        <w:tc>
          <w:tcPr>
            <w:tcW w:w="2365"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温州市鹿城区规划编研中心</w:t>
            </w:r>
          </w:p>
        </w:tc>
        <w:tc>
          <w:tcPr>
            <w:tcW w:w="149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项目名称</w:t>
            </w:r>
          </w:p>
        </w:tc>
        <w:tc>
          <w:tcPr>
            <w:tcW w:w="3068"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规划编制工作经费</w:t>
            </w:r>
          </w:p>
        </w:tc>
      </w:tr>
      <w:tr>
        <w:tblPrEx>
          <w:shd w:val="clear" w:color="auto" w:fill="auto"/>
          <w:tblCellMar>
            <w:top w:w="0" w:type="dxa"/>
            <w:left w:w="0" w:type="dxa"/>
            <w:bottom w:w="0" w:type="dxa"/>
            <w:right w:w="0" w:type="dxa"/>
          </w:tblCellMar>
        </w:tblPrEx>
        <w:trPr>
          <w:trHeight w:val="380"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项目责任部门</w:t>
            </w:r>
          </w:p>
        </w:tc>
        <w:tc>
          <w:tcPr>
            <w:tcW w:w="2365"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default" w:ascii="Calibri" w:hAnsi="Calibri" w:eastAsia="宋体" w:cs="Calibri"/>
                <w:i w:val="0"/>
                <w:color w:val="000000"/>
                <w:kern w:val="0"/>
                <w:sz w:val="18"/>
                <w:szCs w:val="18"/>
                <w:highlight w:val="none"/>
              </w:rPr>
            </w:pPr>
          </w:p>
        </w:tc>
        <w:tc>
          <w:tcPr>
            <w:tcW w:w="149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项目负责人</w:t>
            </w:r>
          </w:p>
        </w:tc>
        <w:tc>
          <w:tcPr>
            <w:tcW w:w="118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章凌志</w:t>
            </w:r>
          </w:p>
        </w:tc>
        <w:tc>
          <w:tcPr>
            <w:tcW w:w="11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联系电话</w:t>
            </w:r>
          </w:p>
        </w:tc>
        <w:tc>
          <w:tcPr>
            <w:tcW w:w="7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13957770129</w:t>
            </w:r>
          </w:p>
        </w:tc>
      </w:tr>
      <w:tr>
        <w:tblPrEx>
          <w:shd w:val="clear" w:color="auto" w:fill="auto"/>
          <w:tblCellMar>
            <w:top w:w="0" w:type="dxa"/>
            <w:left w:w="0" w:type="dxa"/>
            <w:bottom w:w="0" w:type="dxa"/>
            <w:right w:w="0" w:type="dxa"/>
          </w:tblCellMar>
        </w:tblPrEx>
        <w:trPr>
          <w:trHeight w:val="450" w:hRule="atLeast"/>
        </w:trPr>
        <w:tc>
          <w:tcPr>
            <w:tcW w:w="1938"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项目基本情况</w:t>
            </w:r>
          </w:p>
        </w:tc>
        <w:tc>
          <w:tcPr>
            <w:tcW w:w="7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上年结转</w:t>
            </w:r>
          </w:p>
        </w:tc>
        <w:tc>
          <w:tcPr>
            <w:tcW w:w="16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年初预算安排数</w:t>
            </w:r>
          </w:p>
        </w:tc>
        <w:tc>
          <w:tcPr>
            <w:tcW w:w="149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预算调整数</w:t>
            </w:r>
          </w:p>
        </w:tc>
        <w:tc>
          <w:tcPr>
            <w:tcW w:w="118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财政支付数</w:t>
            </w:r>
          </w:p>
        </w:tc>
        <w:tc>
          <w:tcPr>
            <w:tcW w:w="1885"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预算结余数</w:t>
            </w:r>
          </w:p>
        </w:tc>
      </w:tr>
      <w:tr>
        <w:tblPrEx>
          <w:shd w:val="clear" w:color="auto" w:fill="auto"/>
          <w:tblCellMar>
            <w:top w:w="0" w:type="dxa"/>
            <w:left w:w="0" w:type="dxa"/>
            <w:bottom w:w="0" w:type="dxa"/>
            <w:right w:w="0" w:type="dxa"/>
          </w:tblCellMar>
        </w:tblPrEx>
        <w:trPr>
          <w:trHeight w:val="450" w:hRule="atLeast"/>
        </w:trPr>
        <w:tc>
          <w:tcPr>
            <w:tcW w:w="1938"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c>
          <w:tcPr>
            <w:tcW w:w="7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rPr>
                <w:rFonts w:hint="default" w:ascii="Calibri" w:hAnsi="Calibri" w:eastAsia="宋体" w:cs="Calibri"/>
                <w:i w:val="0"/>
                <w:color w:val="000000"/>
                <w:kern w:val="0"/>
                <w:sz w:val="18"/>
                <w:szCs w:val="18"/>
                <w:highlight w:val="none"/>
              </w:rPr>
            </w:pPr>
          </w:p>
        </w:tc>
        <w:tc>
          <w:tcPr>
            <w:tcW w:w="16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200.00</w:t>
            </w:r>
          </w:p>
        </w:tc>
        <w:tc>
          <w:tcPr>
            <w:tcW w:w="149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440.95</w:t>
            </w:r>
          </w:p>
        </w:tc>
        <w:tc>
          <w:tcPr>
            <w:tcW w:w="118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330.81</w:t>
            </w:r>
          </w:p>
        </w:tc>
        <w:tc>
          <w:tcPr>
            <w:tcW w:w="1885"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110.14</w:t>
            </w:r>
          </w:p>
        </w:tc>
      </w:tr>
      <w:tr>
        <w:tblPrEx>
          <w:shd w:val="clear" w:color="auto" w:fill="auto"/>
          <w:tblCellMar>
            <w:top w:w="0" w:type="dxa"/>
            <w:left w:w="0" w:type="dxa"/>
            <w:bottom w:w="0" w:type="dxa"/>
            <w:right w:w="0" w:type="dxa"/>
          </w:tblCellMar>
        </w:tblPrEx>
        <w:trPr>
          <w:trHeight w:val="450"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评价内容</w:t>
            </w:r>
          </w:p>
        </w:tc>
        <w:tc>
          <w:tcPr>
            <w:tcW w:w="7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分值</w:t>
            </w:r>
          </w:p>
        </w:tc>
        <w:tc>
          <w:tcPr>
            <w:tcW w:w="5468"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评价简述（结合实际填写）</w:t>
            </w:r>
          </w:p>
        </w:tc>
        <w:tc>
          <w:tcPr>
            <w:tcW w:w="7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自评得分</w:t>
            </w:r>
          </w:p>
        </w:tc>
      </w:tr>
      <w:tr>
        <w:tblPrEx>
          <w:shd w:val="clear" w:color="auto" w:fill="auto"/>
          <w:tblCellMar>
            <w:top w:w="0" w:type="dxa"/>
            <w:left w:w="0" w:type="dxa"/>
            <w:bottom w:w="0" w:type="dxa"/>
            <w:right w:w="0" w:type="dxa"/>
          </w:tblCellMar>
        </w:tblPrEx>
        <w:trPr>
          <w:trHeight w:val="450" w:hRule="atLeast"/>
        </w:trPr>
        <w:tc>
          <w:tcPr>
            <w:tcW w:w="193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项目预算及预期绩效目标编制水平</w:t>
            </w:r>
          </w:p>
        </w:tc>
        <w:tc>
          <w:tcPr>
            <w:tcW w:w="73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10</w:t>
            </w:r>
          </w:p>
        </w:tc>
        <w:tc>
          <w:tcPr>
            <w:tcW w:w="5468"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本项目预算（即投入目标）编制科学、规范、合理，预期绩效目标申报完整，产出、效果类关键性指标清晰、明确、量化，投入与项目产出、效果目标匹配。</w:t>
            </w:r>
          </w:p>
        </w:tc>
        <w:tc>
          <w:tcPr>
            <w:tcW w:w="72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10</w:t>
            </w:r>
          </w:p>
        </w:tc>
      </w:tr>
      <w:tr>
        <w:tblPrEx>
          <w:shd w:val="clear" w:color="auto" w:fill="auto"/>
          <w:tblCellMar>
            <w:top w:w="0" w:type="dxa"/>
            <w:left w:w="0" w:type="dxa"/>
            <w:bottom w:w="0" w:type="dxa"/>
            <w:right w:w="0" w:type="dxa"/>
          </w:tblCellMar>
        </w:tblPrEx>
        <w:trPr>
          <w:trHeight w:val="450" w:hRule="atLeast"/>
        </w:trPr>
        <w:tc>
          <w:tcPr>
            <w:tcW w:w="193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highlight w:val="none"/>
              </w:rPr>
            </w:pPr>
          </w:p>
        </w:tc>
        <w:tc>
          <w:tcPr>
            <w:tcW w:w="73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c>
          <w:tcPr>
            <w:tcW w:w="5468"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rPr>
                <w:rFonts w:hint="default" w:ascii="Times New Roman" w:hAnsi="Times New Roman" w:cs="Times New Roman"/>
                <w:sz w:val="20"/>
                <w:szCs w:val="20"/>
                <w:highlight w:val="none"/>
              </w:rPr>
            </w:pPr>
          </w:p>
        </w:tc>
        <w:tc>
          <w:tcPr>
            <w:tcW w:w="72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预算执行率</w:t>
            </w:r>
          </w:p>
        </w:tc>
        <w:tc>
          <w:tcPr>
            <w:tcW w:w="7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10</w:t>
            </w:r>
          </w:p>
        </w:tc>
        <w:tc>
          <w:tcPr>
            <w:tcW w:w="5468"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该项目实际支出330.81</w:t>
            </w:r>
            <w:r>
              <w:rPr>
                <w:rFonts w:hint="eastAsia" w:ascii="宋体" w:hAnsi="宋体" w:eastAsia="宋体" w:cs="宋体"/>
                <w:i w:val="0"/>
                <w:color w:val="000000"/>
                <w:kern w:val="0"/>
                <w:sz w:val="18"/>
                <w:szCs w:val="18"/>
                <w:highlight w:val="none"/>
              </w:rPr>
              <w:t>万元，预算执行率为</w:t>
            </w:r>
            <w:r>
              <w:rPr>
                <w:rFonts w:hint="default" w:ascii="Calibri" w:hAnsi="Calibri" w:eastAsia="宋体" w:cs="Calibri"/>
                <w:i w:val="0"/>
                <w:color w:val="000000"/>
                <w:kern w:val="0"/>
                <w:sz w:val="18"/>
                <w:szCs w:val="18"/>
                <w:highlight w:val="none"/>
              </w:rPr>
              <w:t>75.02%</w:t>
            </w:r>
            <w:r>
              <w:rPr>
                <w:rFonts w:hint="eastAsia" w:ascii="宋体" w:hAnsi="宋体" w:eastAsia="宋体" w:cs="宋体"/>
                <w:i w:val="0"/>
                <w:color w:val="000000"/>
                <w:kern w:val="0"/>
                <w:sz w:val="18"/>
                <w:szCs w:val="18"/>
                <w:highlight w:val="none"/>
              </w:rPr>
              <w:t>。</w:t>
            </w:r>
          </w:p>
        </w:tc>
        <w:tc>
          <w:tcPr>
            <w:tcW w:w="7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5</w:t>
            </w:r>
          </w:p>
        </w:tc>
      </w:tr>
      <w:tr>
        <w:tblPrEx>
          <w:shd w:val="clear" w:color="auto" w:fill="auto"/>
          <w:tblCellMar>
            <w:top w:w="0" w:type="dxa"/>
            <w:left w:w="0" w:type="dxa"/>
            <w:bottom w:w="0" w:type="dxa"/>
            <w:right w:w="0" w:type="dxa"/>
          </w:tblCellMar>
        </w:tblPrEx>
        <w:trPr>
          <w:trHeight w:val="450" w:hRule="atLeast"/>
        </w:trPr>
        <w:tc>
          <w:tcPr>
            <w:tcW w:w="1938"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项目组织管理水平</w:t>
            </w:r>
          </w:p>
        </w:tc>
        <w:tc>
          <w:tcPr>
            <w:tcW w:w="73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15</w:t>
            </w:r>
          </w:p>
        </w:tc>
        <w:tc>
          <w:tcPr>
            <w:tcW w:w="5468"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制定了预算资金管理制度，相关预算资金管理制度合法、合规、完整，且能有效执行。资金的拨付有完整的审批程序和手续，并按规定执行国库集中支付，制度手续齐全并得到有效的执行。采用公开招标、单一来源采购等方式，并严格按相关规定执行。</w:t>
            </w:r>
          </w:p>
        </w:tc>
        <w:tc>
          <w:tcPr>
            <w:tcW w:w="72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15</w:t>
            </w:r>
          </w:p>
        </w:tc>
      </w:tr>
      <w:tr>
        <w:tblPrEx>
          <w:shd w:val="clear" w:color="auto" w:fill="auto"/>
          <w:tblCellMar>
            <w:top w:w="0" w:type="dxa"/>
            <w:left w:w="0" w:type="dxa"/>
            <w:bottom w:w="0" w:type="dxa"/>
            <w:right w:w="0" w:type="dxa"/>
          </w:tblCellMar>
        </w:tblPrEx>
        <w:trPr>
          <w:trHeight w:val="320" w:hRule="atLeast"/>
        </w:trPr>
        <w:tc>
          <w:tcPr>
            <w:tcW w:w="1938"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c>
          <w:tcPr>
            <w:tcW w:w="73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c>
          <w:tcPr>
            <w:tcW w:w="5468"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rPr>
                <w:rFonts w:hint="default" w:ascii="Times New Roman" w:hAnsi="Times New Roman" w:cs="Times New Roman"/>
                <w:sz w:val="20"/>
                <w:szCs w:val="20"/>
                <w:highlight w:val="none"/>
              </w:rPr>
            </w:pPr>
          </w:p>
        </w:tc>
        <w:tc>
          <w:tcPr>
            <w:tcW w:w="72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1938"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资金支出合理合规</w:t>
            </w:r>
          </w:p>
        </w:tc>
        <w:tc>
          <w:tcPr>
            <w:tcW w:w="73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15</w:t>
            </w:r>
          </w:p>
        </w:tc>
        <w:tc>
          <w:tcPr>
            <w:tcW w:w="5468"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本年项目支出内容包括《温州市仰双片区中央涂单元城市设计》、《温州市核心片区广化单元黄龙商贸城街坊（0577-WZ-HX-07-C</w:t>
            </w:r>
            <w:r>
              <w:rPr>
                <w:rFonts w:hint="eastAsia" w:ascii="宋体" w:hAnsi="宋体" w:eastAsia="宋体" w:cs="宋体"/>
                <w:i w:val="0"/>
                <w:color w:val="000000"/>
                <w:kern w:val="0"/>
                <w:sz w:val="18"/>
                <w:szCs w:val="18"/>
                <w:highlight w:val="none"/>
              </w:rPr>
              <w:t>）控制性详细规划修编》、《温州市核心片区南门单元（</w:t>
            </w:r>
            <w:r>
              <w:rPr>
                <w:rFonts w:hint="default" w:ascii="Calibri" w:hAnsi="Calibri" w:eastAsia="宋体" w:cs="Calibri"/>
                <w:i w:val="0"/>
                <w:color w:val="000000"/>
                <w:kern w:val="0"/>
                <w:sz w:val="18"/>
                <w:szCs w:val="18"/>
                <w:highlight w:val="none"/>
              </w:rPr>
              <w:t>E-02</w:t>
            </w:r>
            <w:r>
              <w:rPr>
                <w:rFonts w:hint="eastAsia" w:ascii="宋体" w:hAnsi="宋体" w:eastAsia="宋体" w:cs="宋体"/>
                <w:i w:val="0"/>
                <w:color w:val="000000"/>
                <w:kern w:val="0"/>
                <w:sz w:val="18"/>
                <w:szCs w:val="18"/>
                <w:highlight w:val="none"/>
              </w:rPr>
              <w:t>、</w:t>
            </w:r>
            <w:r>
              <w:rPr>
                <w:rFonts w:hint="default" w:ascii="Calibri" w:hAnsi="Calibri" w:eastAsia="宋体" w:cs="Calibri"/>
                <w:i w:val="0"/>
                <w:color w:val="000000"/>
                <w:kern w:val="0"/>
                <w:sz w:val="18"/>
                <w:szCs w:val="18"/>
                <w:highlight w:val="none"/>
              </w:rPr>
              <w:t>E-24</w:t>
            </w:r>
            <w:r>
              <w:rPr>
                <w:rFonts w:hint="eastAsia" w:ascii="宋体" w:hAnsi="宋体" w:eastAsia="宋体" w:cs="宋体"/>
                <w:i w:val="0"/>
                <w:color w:val="000000"/>
                <w:kern w:val="0"/>
                <w:sz w:val="18"/>
                <w:szCs w:val="18"/>
                <w:highlight w:val="none"/>
              </w:rPr>
              <w:t>、</w:t>
            </w:r>
            <w:r>
              <w:rPr>
                <w:rFonts w:hint="default" w:ascii="Calibri" w:hAnsi="Calibri" w:eastAsia="宋体" w:cs="Calibri"/>
                <w:i w:val="0"/>
                <w:color w:val="000000"/>
                <w:kern w:val="0"/>
                <w:sz w:val="18"/>
                <w:szCs w:val="18"/>
                <w:highlight w:val="none"/>
              </w:rPr>
              <w:t>E-30~E-32</w:t>
            </w:r>
            <w:r>
              <w:rPr>
                <w:rFonts w:hint="eastAsia" w:ascii="宋体" w:hAnsi="宋体" w:eastAsia="宋体" w:cs="宋体"/>
                <w:i w:val="0"/>
                <w:color w:val="000000"/>
                <w:kern w:val="0"/>
                <w:sz w:val="18"/>
                <w:szCs w:val="18"/>
                <w:highlight w:val="none"/>
              </w:rPr>
              <w:t>地块）控制性详细规划修改》、《鹿城区做地规划研究》等。符合国家相关法律法规、财务管理制度等规定，且均在预算范围内，无与本项目预算不相符或无关的资金支出。</w:t>
            </w:r>
          </w:p>
        </w:tc>
        <w:tc>
          <w:tcPr>
            <w:tcW w:w="72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15</w:t>
            </w:r>
          </w:p>
        </w:tc>
      </w:tr>
      <w:tr>
        <w:tblPrEx>
          <w:shd w:val="clear" w:color="auto" w:fill="auto"/>
          <w:tblCellMar>
            <w:top w:w="0" w:type="dxa"/>
            <w:left w:w="0" w:type="dxa"/>
            <w:bottom w:w="0" w:type="dxa"/>
            <w:right w:w="0" w:type="dxa"/>
          </w:tblCellMar>
        </w:tblPrEx>
        <w:trPr>
          <w:trHeight w:val="600" w:hRule="atLeast"/>
        </w:trPr>
        <w:tc>
          <w:tcPr>
            <w:tcW w:w="1938"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c>
          <w:tcPr>
            <w:tcW w:w="73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c>
          <w:tcPr>
            <w:tcW w:w="5468"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rPr>
                <w:rFonts w:hint="default" w:ascii="Times New Roman" w:hAnsi="Times New Roman" w:cs="Times New Roman"/>
                <w:sz w:val="20"/>
                <w:szCs w:val="20"/>
                <w:highlight w:val="none"/>
              </w:rPr>
            </w:pPr>
          </w:p>
        </w:tc>
        <w:tc>
          <w:tcPr>
            <w:tcW w:w="72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1938"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项目产出</w:t>
            </w:r>
          </w:p>
        </w:tc>
        <w:tc>
          <w:tcPr>
            <w:tcW w:w="73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30</w:t>
            </w:r>
          </w:p>
        </w:tc>
        <w:tc>
          <w:tcPr>
            <w:tcW w:w="5468"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产出数量：主要围绕全域谋划，</w:t>
            </w:r>
            <w:r>
              <w:rPr>
                <w:rFonts w:hint="eastAsia" w:ascii="Calibri" w:hAnsi="Calibri" w:cs="Calibri"/>
                <w:i w:val="0"/>
                <w:color w:val="000000"/>
                <w:kern w:val="0"/>
                <w:sz w:val="18"/>
                <w:szCs w:val="18"/>
                <w:highlight w:val="none"/>
                <w:lang w:eastAsia="zh-CN"/>
              </w:rPr>
              <w:t>做出</w:t>
            </w:r>
            <w:r>
              <w:rPr>
                <w:rFonts w:hint="default" w:ascii="Calibri" w:hAnsi="Calibri" w:eastAsia="宋体" w:cs="Calibri"/>
                <w:i w:val="0"/>
                <w:color w:val="000000"/>
                <w:kern w:val="0"/>
                <w:sz w:val="18"/>
                <w:szCs w:val="18"/>
                <w:highlight w:val="none"/>
              </w:rPr>
              <w:t>让前期研究，控规修改（修编），基础设施规划方面进行开展工作，基本履行了区域内各类城镇规划的编制和研究等单位主要职责。</w:t>
            </w:r>
            <w:r>
              <w:rPr>
                <w:rFonts w:hint="default" w:ascii="Calibri" w:hAnsi="Calibri" w:eastAsia="宋体" w:cs="Calibri"/>
                <w:i w:val="0"/>
                <w:color w:val="000000"/>
                <w:kern w:val="0"/>
                <w:sz w:val="18"/>
                <w:szCs w:val="18"/>
                <w:highlight w:val="none"/>
              </w:rPr>
              <w:br w:type="textWrapping"/>
            </w:r>
            <w:r>
              <w:rPr>
                <w:rFonts w:hint="default" w:ascii="Calibri" w:hAnsi="Calibri" w:eastAsia="宋体" w:cs="Calibri"/>
                <w:i w:val="0"/>
                <w:color w:val="000000"/>
                <w:kern w:val="0"/>
                <w:sz w:val="18"/>
                <w:szCs w:val="18"/>
                <w:highlight w:val="none"/>
              </w:rPr>
              <w:t>（1</w:t>
            </w:r>
            <w:r>
              <w:rPr>
                <w:rFonts w:hint="eastAsia" w:ascii="宋体" w:hAnsi="宋体" w:eastAsia="宋体" w:cs="宋体"/>
                <w:i w:val="0"/>
                <w:color w:val="000000"/>
                <w:kern w:val="0"/>
                <w:sz w:val="18"/>
                <w:szCs w:val="18"/>
                <w:highlight w:val="none"/>
              </w:rPr>
              <w:t>）全域谋划类（</w:t>
            </w:r>
            <w:r>
              <w:rPr>
                <w:rFonts w:hint="default" w:ascii="Calibri" w:hAnsi="Calibri" w:eastAsia="宋体" w:cs="Calibri"/>
                <w:i w:val="0"/>
                <w:color w:val="000000"/>
                <w:kern w:val="0"/>
                <w:sz w:val="18"/>
                <w:szCs w:val="18"/>
                <w:highlight w:val="none"/>
              </w:rPr>
              <w:t>3</w:t>
            </w:r>
            <w:r>
              <w:rPr>
                <w:rFonts w:hint="eastAsia" w:ascii="宋体" w:hAnsi="宋体" w:eastAsia="宋体" w:cs="宋体"/>
                <w:i w:val="0"/>
                <w:color w:val="000000"/>
                <w:kern w:val="0"/>
                <w:sz w:val="18"/>
                <w:szCs w:val="18"/>
                <w:highlight w:val="none"/>
              </w:rPr>
              <w:t>个）：《</w:t>
            </w:r>
            <w:r>
              <w:rPr>
                <w:rFonts w:hint="default" w:ascii="Calibri" w:hAnsi="Calibri" w:eastAsia="宋体" w:cs="Calibri"/>
                <w:i w:val="0"/>
                <w:color w:val="000000"/>
                <w:kern w:val="0"/>
                <w:sz w:val="18"/>
                <w:szCs w:val="18"/>
                <w:highlight w:val="none"/>
              </w:rPr>
              <w:t>2020</w:t>
            </w:r>
            <w:r>
              <w:rPr>
                <w:rFonts w:hint="eastAsia" w:ascii="宋体" w:hAnsi="宋体" w:eastAsia="宋体" w:cs="宋体"/>
                <w:i w:val="0"/>
                <w:color w:val="000000"/>
                <w:kern w:val="0"/>
                <w:sz w:val="18"/>
                <w:szCs w:val="18"/>
                <w:highlight w:val="none"/>
              </w:rPr>
              <w:t>年规划实施建议》、《</w:t>
            </w:r>
            <w:r>
              <w:rPr>
                <w:rFonts w:hint="default" w:ascii="Calibri" w:hAnsi="Calibri" w:eastAsia="宋体" w:cs="Calibri"/>
                <w:i w:val="0"/>
                <w:color w:val="000000"/>
                <w:kern w:val="0"/>
                <w:sz w:val="18"/>
                <w:szCs w:val="18"/>
                <w:highlight w:val="none"/>
              </w:rPr>
              <w:t>2019-2020</w:t>
            </w:r>
            <w:r>
              <w:rPr>
                <w:rFonts w:hint="eastAsia" w:ascii="宋体" w:hAnsi="宋体" w:eastAsia="宋体" w:cs="宋体"/>
                <w:i w:val="0"/>
                <w:color w:val="000000"/>
                <w:kern w:val="0"/>
                <w:sz w:val="18"/>
                <w:szCs w:val="18"/>
                <w:highlight w:val="none"/>
              </w:rPr>
              <w:t>年鹿城区做地规划研究》、《</w:t>
            </w:r>
            <w:r>
              <w:rPr>
                <w:rFonts w:hint="default" w:ascii="Calibri" w:hAnsi="Calibri" w:eastAsia="宋体" w:cs="Calibri"/>
                <w:i w:val="0"/>
                <w:color w:val="000000"/>
                <w:kern w:val="0"/>
                <w:sz w:val="18"/>
                <w:szCs w:val="18"/>
                <w:highlight w:val="none"/>
              </w:rPr>
              <w:t>2019</w:t>
            </w:r>
            <w:r>
              <w:rPr>
                <w:rFonts w:hint="eastAsia" w:ascii="宋体" w:hAnsi="宋体" w:eastAsia="宋体" w:cs="宋体"/>
                <w:i w:val="0"/>
                <w:color w:val="000000"/>
                <w:kern w:val="0"/>
                <w:sz w:val="18"/>
                <w:szCs w:val="18"/>
                <w:highlight w:val="none"/>
              </w:rPr>
              <w:t>年鹿城区控规图册汇编》；</w:t>
            </w:r>
            <w:r>
              <w:rPr>
                <w:rFonts w:hint="default" w:ascii="Calibri" w:hAnsi="Calibri" w:eastAsia="宋体" w:cs="Calibri"/>
                <w:i w:val="0"/>
                <w:color w:val="000000"/>
                <w:kern w:val="0"/>
                <w:sz w:val="18"/>
                <w:szCs w:val="18"/>
                <w:highlight w:val="none"/>
              </w:rPr>
              <w:br w:type="textWrapping"/>
            </w:r>
            <w:r>
              <w:rPr>
                <w:rFonts w:hint="default" w:ascii="Calibri" w:hAnsi="Calibri" w:eastAsia="宋体" w:cs="Calibri"/>
                <w:i w:val="0"/>
                <w:color w:val="000000"/>
                <w:kern w:val="0"/>
                <w:sz w:val="18"/>
                <w:szCs w:val="18"/>
                <w:highlight w:val="none"/>
              </w:rPr>
              <w:t>（2</w:t>
            </w:r>
            <w:r>
              <w:rPr>
                <w:rFonts w:hint="eastAsia" w:ascii="宋体" w:hAnsi="宋体" w:eastAsia="宋体" w:cs="宋体"/>
                <w:i w:val="0"/>
                <w:color w:val="000000"/>
                <w:kern w:val="0"/>
                <w:sz w:val="18"/>
                <w:szCs w:val="18"/>
                <w:highlight w:val="none"/>
              </w:rPr>
              <w:t>）控规修改（修编）类（</w:t>
            </w:r>
            <w:r>
              <w:rPr>
                <w:rFonts w:hint="default" w:ascii="Calibri" w:hAnsi="Calibri" w:eastAsia="宋体" w:cs="Calibri"/>
                <w:i w:val="0"/>
                <w:color w:val="000000"/>
                <w:kern w:val="0"/>
                <w:sz w:val="18"/>
                <w:szCs w:val="18"/>
                <w:highlight w:val="none"/>
              </w:rPr>
              <w:t>8</w:t>
            </w:r>
            <w:r>
              <w:rPr>
                <w:rFonts w:hint="eastAsia" w:ascii="宋体" w:hAnsi="宋体" w:eastAsia="宋体" w:cs="宋体"/>
                <w:i w:val="0"/>
                <w:color w:val="000000"/>
                <w:kern w:val="0"/>
                <w:sz w:val="18"/>
                <w:szCs w:val="18"/>
                <w:highlight w:val="none"/>
              </w:rPr>
              <w:t>个）：《黄龙商贸城街坊控规修编》、《南门单元</w:t>
            </w:r>
            <w:r>
              <w:rPr>
                <w:rFonts w:hint="default" w:ascii="Calibri" w:hAnsi="Calibri" w:eastAsia="宋体" w:cs="Calibri"/>
                <w:i w:val="0"/>
                <w:color w:val="000000"/>
                <w:kern w:val="0"/>
                <w:sz w:val="18"/>
                <w:szCs w:val="18"/>
                <w:highlight w:val="none"/>
              </w:rPr>
              <w:t>E-02E-24E-30</w:t>
            </w:r>
            <w:r>
              <w:rPr>
                <w:rFonts w:hint="eastAsia" w:ascii="宋体" w:hAnsi="宋体" w:eastAsia="宋体" w:cs="宋体"/>
                <w:i w:val="0"/>
                <w:color w:val="000000"/>
                <w:kern w:val="0"/>
                <w:sz w:val="18"/>
                <w:szCs w:val="18"/>
                <w:highlight w:val="none"/>
              </w:rPr>
              <w:t>地块控规》、《洪殿单元</w:t>
            </w:r>
            <w:r>
              <w:rPr>
                <w:rFonts w:hint="default" w:ascii="Calibri" w:hAnsi="Calibri" w:eastAsia="宋体" w:cs="Calibri"/>
                <w:i w:val="0"/>
                <w:color w:val="000000"/>
                <w:kern w:val="0"/>
                <w:sz w:val="18"/>
                <w:szCs w:val="18"/>
                <w:highlight w:val="none"/>
              </w:rPr>
              <w:t>F-23</w:t>
            </w:r>
            <w:r>
              <w:rPr>
                <w:rFonts w:hint="eastAsia" w:ascii="宋体" w:hAnsi="宋体" w:eastAsia="宋体" w:cs="宋体"/>
                <w:i w:val="0"/>
                <w:color w:val="000000"/>
                <w:kern w:val="0"/>
                <w:sz w:val="18"/>
                <w:szCs w:val="18"/>
                <w:highlight w:val="none"/>
              </w:rPr>
              <w:t>至</w:t>
            </w:r>
            <w:r>
              <w:rPr>
                <w:rFonts w:hint="default" w:ascii="Calibri" w:hAnsi="Calibri" w:eastAsia="宋体" w:cs="Calibri"/>
                <w:i w:val="0"/>
                <w:color w:val="000000"/>
                <w:kern w:val="0"/>
                <w:sz w:val="18"/>
                <w:szCs w:val="18"/>
                <w:highlight w:val="none"/>
              </w:rPr>
              <w:t>F-25</w:t>
            </w:r>
            <w:r>
              <w:rPr>
                <w:rFonts w:hint="eastAsia" w:ascii="宋体" w:hAnsi="宋体" w:eastAsia="宋体" w:cs="宋体"/>
                <w:i w:val="0"/>
                <w:color w:val="000000"/>
                <w:kern w:val="0"/>
                <w:sz w:val="18"/>
                <w:szCs w:val="18"/>
                <w:highlight w:val="none"/>
              </w:rPr>
              <w:t>地块》等</w:t>
            </w:r>
            <w:r>
              <w:rPr>
                <w:rFonts w:hint="default" w:ascii="Calibri" w:hAnsi="Calibri" w:eastAsia="宋体" w:cs="Calibri"/>
                <w:i w:val="0"/>
                <w:color w:val="000000"/>
                <w:kern w:val="0"/>
                <w:sz w:val="18"/>
                <w:szCs w:val="18"/>
                <w:highlight w:val="none"/>
              </w:rPr>
              <w:br w:type="textWrapping"/>
            </w:r>
            <w:r>
              <w:rPr>
                <w:rFonts w:hint="default" w:ascii="Calibri" w:hAnsi="Calibri" w:eastAsia="宋体" w:cs="Calibri"/>
                <w:i w:val="0"/>
                <w:color w:val="000000"/>
                <w:kern w:val="0"/>
                <w:sz w:val="18"/>
                <w:szCs w:val="18"/>
                <w:highlight w:val="none"/>
              </w:rPr>
              <w:t>（3</w:t>
            </w:r>
            <w:r>
              <w:rPr>
                <w:rFonts w:hint="eastAsia" w:ascii="宋体" w:hAnsi="宋体" w:eastAsia="宋体" w:cs="宋体"/>
                <w:i w:val="0"/>
                <w:color w:val="000000"/>
                <w:kern w:val="0"/>
                <w:sz w:val="18"/>
                <w:szCs w:val="18"/>
                <w:highlight w:val="none"/>
              </w:rPr>
              <w:t>）公共配套三年行动计划类（</w:t>
            </w:r>
            <w:r>
              <w:rPr>
                <w:rFonts w:hint="default" w:ascii="Calibri" w:hAnsi="Calibri" w:eastAsia="宋体" w:cs="Calibri"/>
                <w:i w:val="0"/>
                <w:color w:val="000000"/>
                <w:kern w:val="0"/>
                <w:sz w:val="18"/>
                <w:szCs w:val="18"/>
                <w:highlight w:val="none"/>
              </w:rPr>
              <w:t>4</w:t>
            </w:r>
            <w:r>
              <w:rPr>
                <w:rFonts w:hint="eastAsia" w:ascii="宋体" w:hAnsi="宋体" w:eastAsia="宋体" w:cs="宋体"/>
                <w:i w:val="0"/>
                <w:color w:val="000000"/>
                <w:kern w:val="0"/>
                <w:sz w:val="18"/>
                <w:szCs w:val="18"/>
                <w:highlight w:val="none"/>
              </w:rPr>
              <w:t>个）：《加油站建设三年行动计划》、《老年人服务设施建设三年行动计划》等；</w:t>
            </w:r>
            <w:r>
              <w:rPr>
                <w:rFonts w:hint="default" w:ascii="Calibri" w:hAnsi="Calibri" w:eastAsia="宋体" w:cs="Calibri"/>
                <w:i w:val="0"/>
                <w:color w:val="000000"/>
                <w:kern w:val="0"/>
                <w:sz w:val="18"/>
                <w:szCs w:val="18"/>
                <w:highlight w:val="none"/>
              </w:rPr>
              <w:br w:type="textWrapping"/>
            </w:r>
            <w:r>
              <w:rPr>
                <w:rFonts w:hint="default" w:ascii="Calibri" w:hAnsi="Calibri" w:eastAsia="宋体" w:cs="Calibri"/>
                <w:i w:val="0"/>
                <w:color w:val="000000"/>
                <w:kern w:val="0"/>
                <w:sz w:val="18"/>
                <w:szCs w:val="18"/>
                <w:highlight w:val="none"/>
              </w:rPr>
              <w:t>（4</w:t>
            </w:r>
            <w:r>
              <w:rPr>
                <w:rFonts w:hint="eastAsia" w:ascii="宋体" w:hAnsi="宋体" w:eastAsia="宋体" w:cs="宋体"/>
                <w:i w:val="0"/>
                <w:color w:val="000000"/>
                <w:kern w:val="0"/>
                <w:sz w:val="18"/>
                <w:szCs w:val="18"/>
                <w:highlight w:val="none"/>
              </w:rPr>
              <w:t>）城市设计类（</w:t>
            </w:r>
            <w:r>
              <w:rPr>
                <w:rFonts w:hint="default" w:ascii="Calibri" w:hAnsi="Calibri" w:eastAsia="宋体" w:cs="Calibri"/>
                <w:i w:val="0"/>
                <w:color w:val="000000"/>
                <w:kern w:val="0"/>
                <w:sz w:val="18"/>
                <w:szCs w:val="18"/>
                <w:highlight w:val="none"/>
              </w:rPr>
              <w:t>1</w:t>
            </w:r>
            <w:r>
              <w:rPr>
                <w:rFonts w:hint="eastAsia" w:ascii="宋体" w:hAnsi="宋体" w:eastAsia="宋体" w:cs="宋体"/>
                <w:i w:val="0"/>
                <w:color w:val="000000"/>
                <w:kern w:val="0"/>
                <w:sz w:val="18"/>
                <w:szCs w:val="18"/>
                <w:highlight w:val="none"/>
              </w:rPr>
              <w:t>个）：《中央涂单元城市设计》；</w:t>
            </w:r>
            <w:r>
              <w:rPr>
                <w:rFonts w:hint="default" w:ascii="Calibri" w:hAnsi="Calibri" w:eastAsia="宋体" w:cs="Calibri"/>
                <w:i w:val="0"/>
                <w:color w:val="000000"/>
                <w:kern w:val="0"/>
                <w:sz w:val="18"/>
                <w:szCs w:val="18"/>
                <w:highlight w:val="none"/>
              </w:rPr>
              <w:br w:type="textWrapping"/>
            </w:r>
            <w:r>
              <w:rPr>
                <w:rFonts w:hint="default" w:ascii="Calibri" w:hAnsi="Calibri" w:eastAsia="宋体" w:cs="Calibri"/>
                <w:i w:val="0"/>
                <w:color w:val="000000"/>
                <w:kern w:val="0"/>
                <w:sz w:val="18"/>
                <w:szCs w:val="18"/>
                <w:highlight w:val="none"/>
              </w:rPr>
              <w:t>合计16</w:t>
            </w:r>
            <w:r>
              <w:rPr>
                <w:rFonts w:hint="eastAsia" w:ascii="宋体" w:hAnsi="宋体" w:eastAsia="宋体" w:cs="宋体"/>
                <w:i w:val="0"/>
                <w:color w:val="000000"/>
                <w:kern w:val="0"/>
                <w:sz w:val="18"/>
                <w:szCs w:val="18"/>
                <w:highlight w:val="none"/>
              </w:rPr>
              <w:t>个需要支付的项目。</w:t>
            </w:r>
            <w:r>
              <w:rPr>
                <w:rFonts w:hint="default" w:ascii="Calibri" w:hAnsi="Calibri" w:eastAsia="宋体" w:cs="Calibri"/>
                <w:i w:val="0"/>
                <w:color w:val="000000"/>
                <w:kern w:val="0"/>
                <w:sz w:val="18"/>
                <w:szCs w:val="18"/>
                <w:highlight w:val="none"/>
              </w:rPr>
              <w:br w:type="textWrapping"/>
            </w:r>
            <w:r>
              <w:rPr>
                <w:rFonts w:hint="default" w:ascii="Calibri" w:hAnsi="Calibri" w:eastAsia="宋体" w:cs="Calibri"/>
                <w:i w:val="0"/>
                <w:color w:val="000000"/>
                <w:kern w:val="0"/>
                <w:sz w:val="18"/>
                <w:szCs w:val="18"/>
                <w:highlight w:val="none"/>
              </w:rPr>
              <w:t>产出质量：各类支付项目均经过相关部门论证、评审、验收，审批程序和手续齐全到位，能较好的指导城市规划建设。其中全域谋划类需经市、区充分讨论研究后才完成，  控规修改（修编）类需经市政府批复后才最后结题完成。</w:t>
            </w:r>
            <w:r>
              <w:rPr>
                <w:rFonts w:hint="default" w:ascii="Calibri" w:hAnsi="Calibri" w:eastAsia="宋体" w:cs="Calibri"/>
                <w:i w:val="0"/>
                <w:color w:val="000000"/>
                <w:kern w:val="0"/>
                <w:sz w:val="18"/>
                <w:szCs w:val="18"/>
                <w:highlight w:val="none"/>
              </w:rPr>
              <w:br w:type="textWrapping"/>
            </w:r>
            <w:r>
              <w:rPr>
                <w:rFonts w:hint="default" w:ascii="Calibri" w:hAnsi="Calibri" w:eastAsia="宋体" w:cs="Calibri"/>
                <w:i w:val="0"/>
                <w:color w:val="000000"/>
                <w:kern w:val="0"/>
                <w:sz w:val="18"/>
                <w:szCs w:val="18"/>
                <w:highlight w:val="none"/>
              </w:rPr>
              <w:t>产出时效：由于预算不足，下半年才追加经费，并进行公开招投标，此外，控规修改类项目编制、公示时间（30</w:t>
            </w:r>
            <w:r>
              <w:rPr>
                <w:rFonts w:hint="eastAsia" w:ascii="宋体" w:hAnsi="宋体" w:eastAsia="宋体" w:cs="宋体"/>
                <w:i w:val="0"/>
                <w:color w:val="000000"/>
                <w:kern w:val="0"/>
                <w:sz w:val="18"/>
                <w:szCs w:val="18"/>
                <w:highlight w:val="none"/>
              </w:rPr>
              <w:t>个工作日）较长，除南汇鱼鳞浃、山福镇临江片区等控规修改部分项目未在</w:t>
            </w:r>
            <w:r>
              <w:rPr>
                <w:rFonts w:hint="default" w:ascii="Calibri" w:hAnsi="Calibri" w:eastAsia="宋体" w:cs="Calibri"/>
                <w:i w:val="0"/>
                <w:color w:val="000000"/>
                <w:kern w:val="0"/>
                <w:sz w:val="18"/>
                <w:szCs w:val="18"/>
                <w:highlight w:val="none"/>
              </w:rPr>
              <w:t>19</w:t>
            </w:r>
            <w:r>
              <w:rPr>
                <w:rFonts w:hint="eastAsia" w:ascii="宋体" w:hAnsi="宋体" w:eastAsia="宋体" w:cs="宋体"/>
                <w:i w:val="0"/>
                <w:color w:val="000000"/>
                <w:kern w:val="0"/>
                <w:sz w:val="18"/>
                <w:szCs w:val="18"/>
                <w:highlight w:val="none"/>
              </w:rPr>
              <w:t>年度取得市政府批复外，其余项目基本完结。较好地完成了年初制定的各类城镇规划的编制和研究系列工作计划。</w:t>
            </w:r>
          </w:p>
        </w:tc>
        <w:tc>
          <w:tcPr>
            <w:tcW w:w="72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28</w:t>
            </w:r>
          </w:p>
        </w:tc>
      </w:tr>
      <w:tr>
        <w:tblPrEx>
          <w:shd w:val="clear" w:color="auto" w:fill="auto"/>
          <w:tblCellMar>
            <w:top w:w="0" w:type="dxa"/>
            <w:left w:w="0" w:type="dxa"/>
            <w:bottom w:w="0" w:type="dxa"/>
            <w:right w:w="0" w:type="dxa"/>
          </w:tblCellMar>
        </w:tblPrEx>
        <w:trPr>
          <w:trHeight w:val="3520" w:hRule="atLeast"/>
        </w:trPr>
        <w:tc>
          <w:tcPr>
            <w:tcW w:w="1938"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c>
          <w:tcPr>
            <w:tcW w:w="73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c>
          <w:tcPr>
            <w:tcW w:w="5468"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rPr>
                <w:rFonts w:hint="default" w:ascii="Times New Roman" w:hAnsi="Times New Roman" w:cs="Times New Roman"/>
                <w:sz w:val="20"/>
                <w:szCs w:val="20"/>
                <w:highlight w:val="none"/>
              </w:rPr>
            </w:pPr>
          </w:p>
        </w:tc>
        <w:tc>
          <w:tcPr>
            <w:tcW w:w="72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r>
      <w:tr>
        <w:tblPrEx>
          <w:shd w:val="clear" w:color="auto" w:fill="auto"/>
          <w:tblCellMar>
            <w:top w:w="0" w:type="dxa"/>
            <w:left w:w="0" w:type="dxa"/>
            <w:bottom w:w="0" w:type="dxa"/>
            <w:right w:w="0" w:type="dxa"/>
          </w:tblCellMar>
        </w:tblPrEx>
        <w:trPr>
          <w:trHeight w:val="450" w:hRule="atLeast"/>
        </w:trPr>
        <w:tc>
          <w:tcPr>
            <w:tcW w:w="1938"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项目效益（效果）</w:t>
            </w:r>
          </w:p>
        </w:tc>
        <w:tc>
          <w:tcPr>
            <w:tcW w:w="73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20</w:t>
            </w:r>
          </w:p>
        </w:tc>
        <w:tc>
          <w:tcPr>
            <w:tcW w:w="5468"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经济效益：项目通过实施，取得了良好的土地出让金收益，实现了土地价值和规划利用的最大化，为鹿城区产业培育提供规划指导，促进产业发展，产生良好的经济效益。结合区土地出让计划，对2019</w:t>
            </w:r>
            <w:r>
              <w:rPr>
                <w:rFonts w:hint="eastAsia" w:ascii="宋体" w:hAnsi="宋体" w:eastAsia="宋体" w:cs="宋体"/>
                <w:i w:val="0"/>
                <w:color w:val="000000"/>
                <w:kern w:val="0"/>
                <w:sz w:val="18"/>
                <w:szCs w:val="18"/>
                <w:highlight w:val="none"/>
              </w:rPr>
              <w:t>年经营性用地的规划情况进行全面梳理并进行控规修改（修编）。</w:t>
            </w:r>
            <w:r>
              <w:rPr>
                <w:rFonts w:hint="default" w:ascii="Calibri" w:hAnsi="Calibri" w:eastAsia="宋体" w:cs="Calibri"/>
                <w:i w:val="0"/>
                <w:color w:val="000000"/>
                <w:kern w:val="0"/>
                <w:sz w:val="18"/>
                <w:szCs w:val="18"/>
                <w:highlight w:val="none"/>
              </w:rPr>
              <w:t>2019</w:t>
            </w:r>
            <w:r>
              <w:rPr>
                <w:rFonts w:hint="eastAsia" w:ascii="宋体" w:hAnsi="宋体" w:eastAsia="宋体" w:cs="宋体"/>
                <w:i w:val="0"/>
                <w:color w:val="000000"/>
                <w:kern w:val="0"/>
                <w:sz w:val="18"/>
                <w:szCs w:val="18"/>
                <w:highlight w:val="none"/>
              </w:rPr>
              <w:t>年，全区顺利成交经营性用地</w:t>
            </w:r>
            <w:r>
              <w:rPr>
                <w:rFonts w:hint="default" w:ascii="Calibri" w:hAnsi="Calibri" w:eastAsia="宋体" w:cs="Calibri"/>
                <w:i w:val="0"/>
                <w:color w:val="000000"/>
                <w:kern w:val="0"/>
                <w:sz w:val="18"/>
                <w:szCs w:val="18"/>
                <w:highlight w:val="none"/>
              </w:rPr>
              <w:t>28</w:t>
            </w:r>
            <w:r>
              <w:rPr>
                <w:rFonts w:hint="eastAsia" w:ascii="宋体" w:hAnsi="宋体" w:eastAsia="宋体" w:cs="宋体"/>
                <w:i w:val="0"/>
                <w:color w:val="000000"/>
                <w:kern w:val="0"/>
                <w:sz w:val="18"/>
                <w:szCs w:val="18"/>
                <w:highlight w:val="none"/>
              </w:rPr>
              <w:t>宗，出让面积</w:t>
            </w:r>
            <w:r>
              <w:rPr>
                <w:rFonts w:hint="default" w:ascii="Calibri" w:hAnsi="Calibri" w:eastAsia="宋体" w:cs="Calibri"/>
                <w:i w:val="0"/>
                <w:color w:val="000000"/>
                <w:kern w:val="0"/>
                <w:sz w:val="18"/>
                <w:szCs w:val="18"/>
                <w:highlight w:val="none"/>
              </w:rPr>
              <w:t>1504</w:t>
            </w:r>
            <w:r>
              <w:rPr>
                <w:rFonts w:hint="eastAsia" w:ascii="宋体" w:hAnsi="宋体" w:eastAsia="宋体" w:cs="宋体"/>
                <w:i w:val="0"/>
                <w:color w:val="000000"/>
                <w:kern w:val="0"/>
                <w:sz w:val="18"/>
                <w:szCs w:val="18"/>
                <w:highlight w:val="none"/>
              </w:rPr>
              <w:t>亩，出让金收入总额</w:t>
            </w:r>
            <w:r>
              <w:rPr>
                <w:rFonts w:hint="default" w:ascii="Calibri" w:hAnsi="Calibri" w:eastAsia="宋体" w:cs="Calibri"/>
                <w:i w:val="0"/>
                <w:color w:val="000000"/>
                <w:kern w:val="0"/>
                <w:sz w:val="18"/>
                <w:szCs w:val="18"/>
                <w:highlight w:val="none"/>
              </w:rPr>
              <w:t>353.24</w:t>
            </w:r>
            <w:r>
              <w:rPr>
                <w:rFonts w:hint="eastAsia" w:ascii="宋体" w:hAnsi="宋体" w:eastAsia="宋体" w:cs="宋体"/>
                <w:i w:val="0"/>
                <w:color w:val="000000"/>
                <w:kern w:val="0"/>
                <w:sz w:val="18"/>
                <w:szCs w:val="18"/>
                <w:highlight w:val="none"/>
              </w:rPr>
              <w:t>亿元。例如：九山</w:t>
            </w:r>
            <w:r>
              <w:rPr>
                <w:rFonts w:hint="default" w:ascii="Calibri" w:hAnsi="Calibri" w:eastAsia="宋体" w:cs="Calibri"/>
                <w:i w:val="0"/>
                <w:color w:val="000000"/>
                <w:kern w:val="0"/>
                <w:sz w:val="18"/>
                <w:szCs w:val="18"/>
                <w:highlight w:val="none"/>
              </w:rPr>
              <w:t>A-11</w:t>
            </w:r>
            <w:r>
              <w:rPr>
                <w:rFonts w:hint="eastAsia" w:ascii="宋体" w:hAnsi="宋体" w:eastAsia="宋体" w:cs="宋体"/>
                <w:i w:val="0"/>
                <w:color w:val="000000"/>
                <w:kern w:val="0"/>
                <w:sz w:val="18"/>
                <w:szCs w:val="18"/>
                <w:highlight w:val="none"/>
              </w:rPr>
              <w:t>地块经过规划修改，地块出让成交价</w:t>
            </w:r>
            <w:r>
              <w:rPr>
                <w:rFonts w:hint="default" w:ascii="Calibri" w:hAnsi="Calibri" w:eastAsia="宋体" w:cs="Calibri"/>
                <w:i w:val="0"/>
                <w:color w:val="000000"/>
                <w:kern w:val="0"/>
                <w:sz w:val="18"/>
                <w:szCs w:val="18"/>
                <w:highlight w:val="none"/>
              </w:rPr>
              <w:t>14.04</w:t>
            </w:r>
            <w:r>
              <w:rPr>
                <w:rFonts w:hint="eastAsia" w:ascii="宋体" w:hAnsi="宋体" w:eastAsia="宋体" w:cs="宋体"/>
                <w:i w:val="0"/>
                <w:color w:val="000000"/>
                <w:kern w:val="0"/>
                <w:sz w:val="18"/>
                <w:szCs w:val="18"/>
                <w:highlight w:val="none"/>
              </w:rPr>
              <w:t>亿元，溢价率</w:t>
            </w:r>
            <w:r>
              <w:rPr>
                <w:rFonts w:hint="default" w:ascii="Calibri" w:hAnsi="Calibri" w:eastAsia="宋体" w:cs="Calibri"/>
                <w:i w:val="0"/>
                <w:color w:val="000000"/>
                <w:kern w:val="0"/>
                <w:sz w:val="18"/>
                <w:szCs w:val="18"/>
                <w:highlight w:val="none"/>
              </w:rPr>
              <w:t>23.27%</w:t>
            </w:r>
            <w:r>
              <w:rPr>
                <w:rFonts w:hint="eastAsia" w:ascii="宋体" w:hAnsi="宋体" w:eastAsia="宋体" w:cs="宋体"/>
                <w:i w:val="0"/>
                <w:color w:val="000000"/>
                <w:kern w:val="0"/>
                <w:sz w:val="18"/>
                <w:szCs w:val="18"/>
                <w:highlight w:val="none"/>
              </w:rPr>
              <w:t>；轻工产业园区</w:t>
            </w:r>
            <w:r>
              <w:rPr>
                <w:rFonts w:hint="default" w:ascii="Calibri" w:hAnsi="Calibri" w:eastAsia="宋体" w:cs="Calibri"/>
                <w:i w:val="0"/>
                <w:color w:val="000000"/>
                <w:kern w:val="0"/>
                <w:sz w:val="18"/>
                <w:szCs w:val="18"/>
                <w:highlight w:val="none"/>
              </w:rPr>
              <w:t>H-37-1</w:t>
            </w:r>
            <w:r>
              <w:rPr>
                <w:rFonts w:hint="eastAsia" w:ascii="宋体" w:hAnsi="宋体" w:eastAsia="宋体" w:cs="宋体"/>
                <w:i w:val="0"/>
                <w:color w:val="000000"/>
                <w:kern w:val="0"/>
                <w:sz w:val="18"/>
                <w:szCs w:val="18"/>
                <w:highlight w:val="none"/>
              </w:rPr>
              <w:t>地块（加油站），列入加油站三年行动计划，明确先行启动挂牌出让，出让成交价</w:t>
            </w:r>
            <w:r>
              <w:rPr>
                <w:rFonts w:hint="default" w:ascii="Calibri" w:hAnsi="Calibri" w:eastAsia="宋体" w:cs="Calibri"/>
                <w:i w:val="0"/>
                <w:color w:val="000000"/>
                <w:kern w:val="0"/>
                <w:sz w:val="18"/>
                <w:szCs w:val="18"/>
                <w:highlight w:val="none"/>
              </w:rPr>
              <w:t>3.27</w:t>
            </w:r>
            <w:r>
              <w:rPr>
                <w:rFonts w:hint="eastAsia" w:ascii="宋体" w:hAnsi="宋体" w:eastAsia="宋体" w:cs="宋体"/>
                <w:i w:val="0"/>
                <w:color w:val="000000"/>
                <w:kern w:val="0"/>
                <w:sz w:val="18"/>
                <w:szCs w:val="18"/>
                <w:highlight w:val="none"/>
              </w:rPr>
              <w:t>亿元，溢价率</w:t>
            </w:r>
            <w:r>
              <w:rPr>
                <w:rFonts w:hint="default" w:ascii="Calibri" w:hAnsi="Calibri" w:eastAsia="宋体" w:cs="Calibri"/>
                <w:i w:val="0"/>
                <w:color w:val="000000"/>
                <w:kern w:val="0"/>
                <w:sz w:val="18"/>
                <w:szCs w:val="18"/>
                <w:highlight w:val="none"/>
              </w:rPr>
              <w:t>655.9%</w:t>
            </w:r>
            <w:r>
              <w:rPr>
                <w:rFonts w:hint="eastAsia" w:ascii="宋体" w:hAnsi="宋体" w:eastAsia="宋体" w:cs="宋体"/>
                <w:i w:val="0"/>
                <w:color w:val="000000"/>
                <w:kern w:val="0"/>
                <w:sz w:val="18"/>
                <w:szCs w:val="18"/>
                <w:highlight w:val="none"/>
              </w:rPr>
              <w:t>；五马垟儿地块，东北角有部分未拆除，后来经过规划调整，地块顺利完成成交，出让成交价</w:t>
            </w:r>
            <w:r>
              <w:rPr>
                <w:rFonts w:hint="default" w:ascii="Calibri" w:hAnsi="Calibri" w:eastAsia="宋体" w:cs="Calibri"/>
                <w:i w:val="0"/>
                <w:color w:val="000000"/>
                <w:kern w:val="0"/>
                <w:sz w:val="18"/>
                <w:szCs w:val="18"/>
                <w:highlight w:val="none"/>
              </w:rPr>
              <w:t>4.06</w:t>
            </w:r>
            <w:r>
              <w:rPr>
                <w:rFonts w:hint="eastAsia" w:ascii="宋体" w:hAnsi="宋体" w:eastAsia="宋体" w:cs="宋体"/>
                <w:i w:val="0"/>
                <w:color w:val="000000"/>
                <w:kern w:val="0"/>
                <w:sz w:val="18"/>
                <w:szCs w:val="18"/>
                <w:highlight w:val="none"/>
              </w:rPr>
              <w:t>亿元，溢价率</w:t>
            </w:r>
            <w:r>
              <w:rPr>
                <w:rFonts w:hint="default" w:ascii="Calibri" w:hAnsi="Calibri" w:eastAsia="宋体" w:cs="Calibri"/>
                <w:i w:val="0"/>
                <w:color w:val="000000"/>
                <w:kern w:val="0"/>
                <w:sz w:val="18"/>
                <w:szCs w:val="18"/>
                <w:highlight w:val="none"/>
              </w:rPr>
              <w:t>29.71%</w:t>
            </w:r>
            <w:r>
              <w:rPr>
                <w:rFonts w:hint="eastAsia" w:ascii="宋体" w:hAnsi="宋体" w:eastAsia="宋体" w:cs="宋体"/>
                <w:i w:val="0"/>
                <w:color w:val="000000"/>
                <w:kern w:val="0"/>
                <w:sz w:val="18"/>
                <w:szCs w:val="18"/>
                <w:highlight w:val="none"/>
              </w:rPr>
              <w:t>。</w:t>
            </w:r>
            <w:r>
              <w:rPr>
                <w:rFonts w:hint="default" w:ascii="Calibri" w:hAnsi="Calibri" w:eastAsia="宋体" w:cs="Calibri"/>
                <w:i w:val="0"/>
                <w:color w:val="000000"/>
                <w:kern w:val="0"/>
                <w:sz w:val="18"/>
                <w:szCs w:val="18"/>
                <w:highlight w:val="none"/>
              </w:rPr>
              <w:br w:type="textWrapping"/>
            </w:r>
            <w:r>
              <w:rPr>
                <w:rFonts w:hint="default" w:ascii="Calibri" w:hAnsi="Calibri" w:eastAsia="宋体" w:cs="Calibri"/>
                <w:i w:val="0"/>
                <w:color w:val="000000"/>
                <w:kern w:val="0"/>
                <w:sz w:val="18"/>
                <w:szCs w:val="18"/>
                <w:highlight w:val="none"/>
              </w:rPr>
              <w:t>另外：在居住区新规、北侧小学日照影响、南侧瑞都酒店分割、沿小南路住宅是否拆除等不利条件下，经过反复设计、论证、协调，完成《南门单元E-02</w:t>
            </w:r>
            <w:r>
              <w:rPr>
                <w:rFonts w:hint="eastAsia" w:ascii="宋体" w:hAnsi="宋体" w:eastAsia="宋体" w:cs="宋体"/>
                <w:i w:val="0"/>
                <w:color w:val="000000"/>
                <w:kern w:val="0"/>
                <w:sz w:val="18"/>
                <w:szCs w:val="18"/>
                <w:highlight w:val="none"/>
              </w:rPr>
              <w:t>、</w:t>
            </w:r>
            <w:r>
              <w:rPr>
                <w:rFonts w:hint="default" w:ascii="Calibri" w:hAnsi="Calibri" w:eastAsia="宋体" w:cs="Calibri"/>
                <w:i w:val="0"/>
                <w:color w:val="000000"/>
                <w:kern w:val="0"/>
                <w:sz w:val="18"/>
                <w:szCs w:val="18"/>
                <w:highlight w:val="none"/>
              </w:rPr>
              <w:t>E-24</w:t>
            </w:r>
            <w:r>
              <w:rPr>
                <w:rFonts w:hint="eastAsia" w:ascii="宋体" w:hAnsi="宋体" w:eastAsia="宋体" w:cs="宋体"/>
                <w:i w:val="0"/>
                <w:color w:val="000000"/>
                <w:kern w:val="0"/>
                <w:sz w:val="18"/>
                <w:szCs w:val="18"/>
                <w:highlight w:val="none"/>
              </w:rPr>
              <w:t>、</w:t>
            </w:r>
            <w:r>
              <w:rPr>
                <w:rFonts w:hint="default" w:ascii="Calibri" w:hAnsi="Calibri" w:eastAsia="宋体" w:cs="Calibri"/>
                <w:i w:val="0"/>
                <w:color w:val="000000"/>
                <w:kern w:val="0"/>
                <w:sz w:val="18"/>
                <w:szCs w:val="18"/>
                <w:highlight w:val="none"/>
              </w:rPr>
              <w:t>E-30</w:t>
            </w:r>
            <w:r>
              <w:rPr>
                <w:rFonts w:hint="eastAsia" w:ascii="宋体" w:hAnsi="宋体" w:eastAsia="宋体" w:cs="宋体"/>
                <w:i w:val="0"/>
                <w:color w:val="000000"/>
                <w:kern w:val="0"/>
                <w:sz w:val="18"/>
                <w:szCs w:val="18"/>
                <w:highlight w:val="none"/>
              </w:rPr>
              <w:t>地块控规修改》（大南隔岸垟地块）（</w:t>
            </w:r>
            <w:r>
              <w:rPr>
                <w:rFonts w:hint="default" w:ascii="Calibri" w:hAnsi="Calibri" w:eastAsia="宋体" w:cs="Calibri"/>
                <w:i w:val="0"/>
                <w:color w:val="000000"/>
                <w:kern w:val="0"/>
                <w:sz w:val="18"/>
                <w:szCs w:val="18"/>
                <w:highlight w:val="none"/>
              </w:rPr>
              <w:t>2020</w:t>
            </w:r>
            <w:r>
              <w:rPr>
                <w:rFonts w:hint="eastAsia" w:ascii="宋体" w:hAnsi="宋体" w:eastAsia="宋体" w:cs="宋体"/>
                <w:i w:val="0"/>
                <w:color w:val="000000"/>
                <w:kern w:val="0"/>
                <w:sz w:val="18"/>
                <w:szCs w:val="18"/>
                <w:highlight w:val="none"/>
              </w:rPr>
              <w:t>年</w:t>
            </w:r>
            <w:r>
              <w:rPr>
                <w:rFonts w:hint="default" w:ascii="Calibri" w:hAnsi="Calibri" w:eastAsia="宋体" w:cs="Calibri"/>
                <w:i w:val="0"/>
                <w:color w:val="000000"/>
                <w:kern w:val="0"/>
                <w:sz w:val="18"/>
                <w:szCs w:val="18"/>
                <w:highlight w:val="none"/>
              </w:rPr>
              <w:t>4</w:t>
            </w:r>
            <w:r>
              <w:rPr>
                <w:rFonts w:hint="eastAsia" w:ascii="宋体" w:hAnsi="宋体" w:eastAsia="宋体" w:cs="宋体"/>
                <w:i w:val="0"/>
                <w:color w:val="000000"/>
                <w:kern w:val="0"/>
                <w:sz w:val="18"/>
                <w:szCs w:val="18"/>
                <w:highlight w:val="none"/>
              </w:rPr>
              <w:t>月，出让成交价</w:t>
            </w:r>
            <w:r>
              <w:rPr>
                <w:rFonts w:hint="default" w:ascii="Calibri" w:hAnsi="Calibri" w:eastAsia="宋体" w:cs="Calibri"/>
                <w:i w:val="0"/>
                <w:color w:val="000000"/>
                <w:kern w:val="0"/>
                <w:sz w:val="18"/>
                <w:szCs w:val="18"/>
                <w:highlight w:val="none"/>
              </w:rPr>
              <w:t>37.16</w:t>
            </w:r>
            <w:r>
              <w:rPr>
                <w:rFonts w:hint="eastAsia" w:ascii="宋体" w:hAnsi="宋体" w:eastAsia="宋体" w:cs="宋体"/>
                <w:i w:val="0"/>
                <w:color w:val="000000"/>
                <w:kern w:val="0"/>
                <w:sz w:val="18"/>
                <w:szCs w:val="18"/>
                <w:highlight w:val="none"/>
              </w:rPr>
              <w:t>亿元，溢价率</w:t>
            </w:r>
            <w:r>
              <w:rPr>
                <w:rFonts w:hint="default" w:ascii="Calibri" w:hAnsi="Calibri" w:eastAsia="宋体" w:cs="Calibri"/>
                <w:i w:val="0"/>
                <w:color w:val="000000"/>
                <w:kern w:val="0"/>
                <w:sz w:val="18"/>
                <w:szCs w:val="18"/>
                <w:highlight w:val="none"/>
              </w:rPr>
              <w:t>26.7%</w:t>
            </w:r>
            <w:r>
              <w:rPr>
                <w:rFonts w:hint="eastAsia" w:ascii="宋体" w:hAnsi="宋体" w:eastAsia="宋体" w:cs="宋体"/>
                <w:i w:val="0"/>
                <w:color w:val="000000"/>
                <w:kern w:val="0"/>
                <w:sz w:val="18"/>
                <w:szCs w:val="18"/>
                <w:highlight w:val="none"/>
              </w:rPr>
              <w:t>）；黄龙商贸城未来社区也将于</w:t>
            </w:r>
            <w:r>
              <w:rPr>
                <w:rFonts w:hint="default" w:ascii="Calibri" w:hAnsi="Calibri" w:eastAsia="宋体" w:cs="Calibri"/>
                <w:i w:val="0"/>
                <w:color w:val="000000"/>
                <w:kern w:val="0"/>
                <w:sz w:val="18"/>
                <w:szCs w:val="18"/>
                <w:highlight w:val="none"/>
              </w:rPr>
              <w:t>2020</w:t>
            </w:r>
            <w:r>
              <w:rPr>
                <w:rFonts w:hint="eastAsia" w:ascii="宋体" w:hAnsi="宋体" w:eastAsia="宋体" w:cs="宋体"/>
                <w:i w:val="0"/>
                <w:color w:val="000000"/>
                <w:kern w:val="0"/>
                <w:sz w:val="18"/>
                <w:szCs w:val="18"/>
                <w:highlight w:val="none"/>
              </w:rPr>
              <w:t>年</w:t>
            </w:r>
            <w:r>
              <w:rPr>
                <w:rFonts w:hint="default" w:ascii="Calibri" w:hAnsi="Calibri" w:eastAsia="宋体" w:cs="Calibri"/>
                <w:i w:val="0"/>
                <w:color w:val="000000"/>
                <w:kern w:val="0"/>
                <w:sz w:val="18"/>
                <w:szCs w:val="18"/>
                <w:highlight w:val="none"/>
              </w:rPr>
              <w:t>4</w:t>
            </w:r>
            <w:r>
              <w:rPr>
                <w:rFonts w:hint="eastAsia" w:ascii="宋体" w:hAnsi="宋体" w:eastAsia="宋体" w:cs="宋体"/>
                <w:i w:val="0"/>
                <w:color w:val="000000"/>
                <w:kern w:val="0"/>
                <w:sz w:val="18"/>
                <w:szCs w:val="18"/>
                <w:highlight w:val="none"/>
              </w:rPr>
              <w:t>月挂牌出让。</w:t>
            </w:r>
            <w:r>
              <w:rPr>
                <w:rFonts w:hint="default" w:ascii="Calibri" w:hAnsi="Calibri" w:eastAsia="宋体" w:cs="Calibri"/>
                <w:i w:val="0"/>
                <w:color w:val="000000"/>
                <w:kern w:val="0"/>
                <w:sz w:val="18"/>
                <w:szCs w:val="18"/>
                <w:highlight w:val="none"/>
              </w:rPr>
              <w:br w:type="textWrapping"/>
            </w:r>
            <w:r>
              <w:rPr>
                <w:rFonts w:hint="default" w:ascii="Calibri" w:hAnsi="Calibri" w:eastAsia="宋体" w:cs="Calibri"/>
                <w:i w:val="0"/>
                <w:color w:val="000000"/>
                <w:kern w:val="0"/>
                <w:sz w:val="18"/>
                <w:szCs w:val="18"/>
                <w:highlight w:val="none"/>
              </w:rPr>
              <w:t>社会效益：项目经过规划实施落实，为旧城区域的拆改和城市整体风貌的打造提供强大助力，有力提升城区居住品质，促进城中村改造安置地块的顺利出让，补齐老城区公共配套短板，维护社会和谐稳定。</w:t>
            </w:r>
            <w:r>
              <w:rPr>
                <w:rFonts w:hint="default" w:ascii="Calibri" w:hAnsi="Calibri" w:eastAsia="宋体" w:cs="Calibri"/>
                <w:i w:val="0"/>
                <w:color w:val="000000"/>
                <w:kern w:val="0"/>
                <w:sz w:val="18"/>
                <w:szCs w:val="18"/>
                <w:highlight w:val="none"/>
              </w:rPr>
              <w:br w:type="textWrapping"/>
            </w:r>
            <w:r>
              <w:rPr>
                <w:rFonts w:hint="default" w:ascii="Calibri" w:hAnsi="Calibri" w:eastAsia="宋体" w:cs="Calibri"/>
                <w:i w:val="0"/>
                <w:color w:val="000000"/>
                <w:kern w:val="0"/>
                <w:sz w:val="18"/>
                <w:szCs w:val="18"/>
                <w:highlight w:val="none"/>
              </w:rPr>
              <w:t>环境效益：项目经过规划实施落实，优化城市空间、重构城市形象，改善了人居环境，推动“</w:t>
            </w:r>
            <w:r>
              <w:rPr>
                <w:rFonts w:hint="eastAsia" w:ascii="宋体" w:hAnsi="宋体" w:eastAsia="宋体" w:cs="宋体"/>
                <w:i w:val="0"/>
                <w:color w:val="000000"/>
                <w:kern w:val="0"/>
                <w:sz w:val="18"/>
                <w:szCs w:val="18"/>
                <w:highlight w:val="none"/>
              </w:rPr>
              <w:t>精建精美</w:t>
            </w:r>
            <w:r>
              <w:rPr>
                <w:rFonts w:hint="default" w:ascii="Calibri" w:hAnsi="Calibri" w:eastAsia="宋体" w:cs="Calibri"/>
                <w:i w:val="0"/>
                <w:color w:val="000000"/>
                <w:kern w:val="0"/>
                <w:sz w:val="18"/>
                <w:szCs w:val="18"/>
                <w:highlight w:val="none"/>
              </w:rPr>
              <w:t>”</w:t>
            </w:r>
            <w:r>
              <w:rPr>
                <w:rFonts w:hint="eastAsia" w:ascii="宋体" w:hAnsi="宋体" w:eastAsia="宋体" w:cs="宋体"/>
                <w:i w:val="0"/>
                <w:color w:val="000000"/>
                <w:kern w:val="0"/>
                <w:sz w:val="18"/>
                <w:szCs w:val="18"/>
                <w:highlight w:val="none"/>
              </w:rPr>
              <w:t>向</w:t>
            </w:r>
            <w:r>
              <w:rPr>
                <w:rFonts w:hint="default" w:ascii="Calibri" w:hAnsi="Calibri" w:eastAsia="宋体" w:cs="Calibri"/>
                <w:i w:val="0"/>
                <w:color w:val="000000"/>
                <w:kern w:val="0"/>
                <w:sz w:val="18"/>
                <w:szCs w:val="18"/>
                <w:highlight w:val="none"/>
              </w:rPr>
              <w:t>“</w:t>
            </w:r>
            <w:r>
              <w:rPr>
                <w:rFonts w:hint="eastAsia" w:ascii="宋体" w:hAnsi="宋体" w:eastAsia="宋体" w:cs="宋体"/>
                <w:i w:val="0"/>
                <w:color w:val="000000"/>
                <w:kern w:val="0"/>
                <w:sz w:val="18"/>
                <w:szCs w:val="18"/>
                <w:highlight w:val="none"/>
              </w:rPr>
              <w:t>全域美</w:t>
            </w:r>
            <w:r>
              <w:rPr>
                <w:rFonts w:hint="default" w:ascii="Calibri" w:hAnsi="Calibri" w:eastAsia="宋体" w:cs="Calibri"/>
                <w:i w:val="0"/>
                <w:color w:val="000000"/>
                <w:kern w:val="0"/>
                <w:sz w:val="18"/>
                <w:szCs w:val="18"/>
                <w:highlight w:val="none"/>
              </w:rPr>
              <w:t>”</w:t>
            </w:r>
            <w:r>
              <w:rPr>
                <w:rFonts w:hint="eastAsia" w:ascii="宋体" w:hAnsi="宋体" w:eastAsia="宋体" w:cs="宋体"/>
                <w:i w:val="0"/>
                <w:color w:val="000000"/>
                <w:kern w:val="0"/>
                <w:sz w:val="18"/>
                <w:szCs w:val="18"/>
                <w:highlight w:val="none"/>
              </w:rPr>
              <w:t>的大跨越。</w:t>
            </w:r>
            <w:r>
              <w:rPr>
                <w:rFonts w:hint="default" w:ascii="Calibri" w:hAnsi="Calibri" w:eastAsia="宋体" w:cs="Calibri"/>
                <w:i w:val="0"/>
                <w:color w:val="000000"/>
                <w:kern w:val="0"/>
                <w:sz w:val="18"/>
                <w:szCs w:val="18"/>
                <w:highlight w:val="none"/>
              </w:rPr>
              <w:br w:type="textWrapping"/>
            </w:r>
            <w:r>
              <w:rPr>
                <w:rFonts w:hint="default" w:ascii="Calibri" w:hAnsi="Calibri" w:eastAsia="宋体" w:cs="Calibri"/>
                <w:i w:val="0"/>
                <w:color w:val="000000"/>
                <w:kern w:val="0"/>
                <w:sz w:val="18"/>
                <w:szCs w:val="18"/>
                <w:highlight w:val="none"/>
              </w:rPr>
              <w:t>可持续影响：项目经过规划实施落实，巩固提升拆改成果，加快推进鹿城区城市转型发展。</w:t>
            </w:r>
          </w:p>
        </w:tc>
        <w:tc>
          <w:tcPr>
            <w:tcW w:w="72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20</w:t>
            </w:r>
          </w:p>
        </w:tc>
      </w:tr>
      <w:tr>
        <w:tblPrEx>
          <w:shd w:val="clear" w:color="auto" w:fill="auto"/>
          <w:tblCellMar>
            <w:top w:w="0" w:type="dxa"/>
            <w:left w:w="0" w:type="dxa"/>
            <w:bottom w:w="0" w:type="dxa"/>
            <w:right w:w="0" w:type="dxa"/>
          </w:tblCellMar>
        </w:tblPrEx>
        <w:trPr>
          <w:trHeight w:val="3300" w:hRule="atLeast"/>
        </w:trPr>
        <w:tc>
          <w:tcPr>
            <w:tcW w:w="1938"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c>
          <w:tcPr>
            <w:tcW w:w="73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c>
          <w:tcPr>
            <w:tcW w:w="5468"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rPr>
                <w:rFonts w:hint="default" w:ascii="Times New Roman" w:hAnsi="Times New Roman" w:cs="Times New Roman"/>
                <w:sz w:val="20"/>
                <w:szCs w:val="20"/>
                <w:highlight w:val="none"/>
              </w:rPr>
            </w:pPr>
          </w:p>
        </w:tc>
        <w:tc>
          <w:tcPr>
            <w:tcW w:w="72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sz w:val="20"/>
                <w:szCs w:val="20"/>
                <w:highlight w:val="none"/>
              </w:rPr>
            </w:pPr>
          </w:p>
        </w:tc>
      </w:tr>
      <w:tr>
        <w:tblPrEx>
          <w:tblCellMar>
            <w:top w:w="0" w:type="dxa"/>
            <w:left w:w="0" w:type="dxa"/>
            <w:bottom w:w="0" w:type="dxa"/>
            <w:right w:w="0" w:type="dxa"/>
          </w:tblCellMar>
        </w:tblPrEx>
        <w:trPr>
          <w:trHeight w:val="450" w:hRule="atLeast"/>
        </w:trPr>
        <w:tc>
          <w:tcPr>
            <w:tcW w:w="1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合计</w:t>
            </w:r>
          </w:p>
        </w:tc>
        <w:tc>
          <w:tcPr>
            <w:tcW w:w="7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100</w:t>
            </w:r>
          </w:p>
        </w:tc>
        <w:tc>
          <w:tcPr>
            <w:tcW w:w="5468"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w:t>
            </w:r>
          </w:p>
        </w:tc>
        <w:tc>
          <w:tcPr>
            <w:tcW w:w="7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93</w:t>
            </w:r>
          </w:p>
        </w:tc>
      </w:tr>
      <w:tr>
        <w:tblPrEx>
          <w:tblCellMar>
            <w:top w:w="0" w:type="dxa"/>
            <w:left w:w="0" w:type="dxa"/>
            <w:bottom w:w="0" w:type="dxa"/>
            <w:right w:w="0" w:type="dxa"/>
          </w:tblCellMar>
        </w:tblPrEx>
        <w:trPr>
          <w:trHeight w:val="450" w:hRule="atLeast"/>
        </w:trPr>
        <w:tc>
          <w:tcPr>
            <w:tcW w:w="19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评价结果</w:t>
            </w:r>
          </w:p>
        </w:tc>
        <w:tc>
          <w:tcPr>
            <w:tcW w:w="7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rPr>
                <w:rFonts w:hint="default" w:ascii="Calibri" w:hAnsi="Calibri" w:eastAsia="宋体" w:cs="Calibri"/>
                <w:i w:val="0"/>
                <w:color w:val="000000"/>
                <w:kern w:val="0"/>
                <w:sz w:val="18"/>
                <w:szCs w:val="18"/>
                <w:highlight w:val="none"/>
              </w:rPr>
            </w:pPr>
          </w:p>
        </w:tc>
        <w:tc>
          <w:tcPr>
            <w:tcW w:w="618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highlight w:val="none"/>
              </w:rPr>
            </w:pPr>
            <w:r>
              <w:rPr>
                <w:rFonts w:hint="default" w:ascii="Calibri" w:hAnsi="Calibri" w:eastAsia="宋体" w:cs="Calibri"/>
                <w:i w:val="0"/>
                <w:color w:val="000000"/>
                <w:kern w:val="0"/>
                <w:sz w:val="18"/>
                <w:szCs w:val="18"/>
                <w:highlight w:val="none"/>
              </w:rPr>
              <w:t>优秀</w:t>
            </w:r>
          </w:p>
        </w:tc>
      </w:tr>
    </w:tbl>
    <w:p>
      <w:pPr>
        <w:keepNext w:val="0"/>
        <w:keepLines w:val="0"/>
        <w:widowControl/>
        <w:numPr>
          <w:ilvl w:val="0"/>
          <w:numId w:val="0"/>
        </w:numPr>
        <w:suppressLineNumbers w:val="0"/>
        <w:spacing w:before="0" w:beforeAutospacing="0" w:after="0" w:afterAutospacing="0" w:line="600" w:lineRule="atLeast"/>
        <w:ind w:right="0" w:rightChars="0"/>
        <w:jc w:val="both"/>
        <w:rPr>
          <w:rStyle w:val="5"/>
          <w:rFonts w:hint="eastAsia" w:ascii="仿宋" w:hAnsi="仿宋" w:eastAsia="仿宋" w:cs="Arial"/>
          <w:b/>
          <w:kern w:val="0"/>
          <w:sz w:val="32"/>
          <w:szCs w:val="32"/>
          <w:highlight w:val="none"/>
          <w:shd w:val="clear" w:fill="FFFFFF"/>
          <w:lang w:val="en-US" w:eastAsia="zh-CN"/>
        </w:rPr>
      </w:pPr>
    </w:p>
    <w:p>
      <w:pPr>
        <w:keepNext w:val="0"/>
        <w:keepLines w:val="0"/>
        <w:widowControl/>
        <w:numPr>
          <w:ilvl w:val="0"/>
          <w:numId w:val="0"/>
        </w:numPr>
        <w:suppressLineNumbers w:val="0"/>
        <w:spacing w:before="0" w:beforeAutospacing="0" w:after="0" w:afterAutospacing="0" w:line="600" w:lineRule="atLeast"/>
        <w:ind w:left="640" w:leftChars="0" w:right="0" w:rightChars="0"/>
        <w:jc w:val="both"/>
        <w:rPr>
          <w:rFonts w:hint="eastAsia" w:ascii="仿宋" w:hAnsi="仿宋" w:eastAsia="仿宋" w:cs="Arial"/>
          <w:kern w:val="0"/>
          <w:sz w:val="32"/>
          <w:szCs w:val="32"/>
          <w:highlight w:val="none"/>
          <w:shd w:val="clear" w:fill="FFFFFF"/>
          <w:lang w:eastAsia="zh-CN"/>
        </w:rPr>
      </w:pPr>
      <w:r>
        <w:rPr>
          <w:rStyle w:val="5"/>
          <w:rFonts w:hint="eastAsia" w:ascii="仿宋" w:hAnsi="仿宋" w:eastAsia="仿宋" w:cs="Arial"/>
          <w:b/>
          <w:kern w:val="0"/>
          <w:sz w:val="32"/>
          <w:szCs w:val="32"/>
          <w:highlight w:val="none"/>
          <w:shd w:val="clear" w:fill="FFFFFF"/>
          <w:lang w:val="en-US" w:eastAsia="zh-CN"/>
        </w:rPr>
        <w:t>3.</w:t>
      </w:r>
      <w:r>
        <w:rPr>
          <w:rStyle w:val="5"/>
          <w:rFonts w:hint="eastAsia" w:ascii="仿宋" w:hAnsi="仿宋" w:eastAsia="仿宋" w:cs="Arial"/>
          <w:b/>
          <w:kern w:val="0"/>
          <w:sz w:val="32"/>
          <w:szCs w:val="32"/>
          <w:highlight w:val="none"/>
          <w:shd w:val="clear" w:fill="FFFFFF"/>
        </w:rPr>
        <w:t>财政评价项目绩效评价结果。</w:t>
      </w:r>
    </w:p>
    <w:p>
      <w:pPr>
        <w:keepNext w:val="0"/>
        <w:keepLines w:val="0"/>
        <w:widowControl/>
        <w:numPr>
          <w:ilvl w:val="0"/>
          <w:numId w:val="0"/>
        </w:numPr>
        <w:suppressLineNumbers w:val="0"/>
        <w:spacing w:before="0" w:beforeAutospacing="0" w:after="0" w:afterAutospacing="0" w:line="600" w:lineRule="atLeast"/>
        <w:ind w:right="0" w:rightChars="0" w:firstLine="640" w:firstLineChars="200"/>
        <w:jc w:val="both"/>
        <w:rPr>
          <w:rFonts w:hint="eastAsia" w:ascii="仿宋" w:hAnsi="仿宋" w:eastAsia="仿宋" w:cs="Arial"/>
          <w:kern w:val="0"/>
          <w:sz w:val="32"/>
          <w:szCs w:val="32"/>
          <w:highlight w:val="none"/>
          <w:shd w:val="clear" w:fill="FFFFFF"/>
          <w:lang w:eastAsia="zh-CN"/>
        </w:rPr>
      </w:pPr>
      <w:r>
        <w:rPr>
          <w:rFonts w:hint="eastAsia" w:ascii="仿宋" w:eastAsia="仿宋" w:cs="Arial"/>
          <w:sz w:val="32"/>
          <w:szCs w:val="32"/>
          <w:highlight w:val="none"/>
        </w:rPr>
        <w:t>经温州市鹿城区财政局委托，由</w:t>
      </w:r>
      <w:r>
        <w:rPr>
          <w:rFonts w:hint="eastAsia" w:ascii="仿宋" w:hAnsi="仿宋" w:eastAsia="仿宋" w:cs="Arial"/>
          <w:kern w:val="0"/>
          <w:sz w:val="32"/>
          <w:szCs w:val="32"/>
          <w:highlight w:val="none"/>
          <w:shd w:val="clear" w:fill="FFFFFF"/>
        </w:rPr>
        <w:t>浙江正大会计师事务所有限公司</w:t>
      </w:r>
      <w:r>
        <w:rPr>
          <w:rFonts w:hint="eastAsia" w:ascii="仿宋" w:eastAsia="仿宋" w:cs="Arial"/>
          <w:sz w:val="32"/>
          <w:szCs w:val="32"/>
          <w:highlight w:val="none"/>
        </w:rPr>
        <w:t>按规定程序对我中心“</w:t>
      </w:r>
      <w:r>
        <w:rPr>
          <w:rFonts w:hint="eastAsia" w:ascii="仿宋" w:hAnsi="仿宋" w:eastAsia="仿宋" w:cs="仿宋"/>
          <w:kern w:val="0"/>
          <w:sz w:val="32"/>
          <w:szCs w:val="32"/>
          <w:highlight w:val="none"/>
          <w:shd w:val="clear" w:fill="FFFFFF"/>
        </w:rPr>
        <w:t>规划编制工作经费</w:t>
      </w:r>
      <w:r>
        <w:rPr>
          <w:rFonts w:hint="eastAsia" w:ascii="仿宋" w:eastAsia="仿宋" w:cs="Arial"/>
          <w:sz w:val="32"/>
          <w:szCs w:val="32"/>
          <w:highlight w:val="none"/>
        </w:rPr>
        <w:t>”1个项目开展绩效评价，评价结果为</w:t>
      </w:r>
      <w:r>
        <w:rPr>
          <w:rFonts w:hint="eastAsia" w:ascii="仿宋" w:eastAsia="仿宋" w:cs="Arial"/>
          <w:sz w:val="32"/>
          <w:szCs w:val="32"/>
          <w:highlight w:val="none"/>
          <w:lang w:val="en-US" w:eastAsia="zh-CN"/>
        </w:rPr>
        <w:t>良好</w:t>
      </w:r>
      <w:r>
        <w:rPr>
          <w:rFonts w:hint="eastAsia" w:ascii="仿宋" w:eastAsia="仿宋" w:cs="Arial"/>
          <w:sz w:val="32"/>
          <w:szCs w:val="32"/>
          <w:highlight w:val="none"/>
        </w:rPr>
        <w:t>。</w:t>
      </w:r>
    </w:p>
    <w:p>
      <w:pPr>
        <w:keepNext w:val="0"/>
        <w:keepLines w:val="0"/>
        <w:widowControl/>
        <w:numPr>
          <w:ilvl w:val="0"/>
          <w:numId w:val="0"/>
        </w:numPr>
        <w:suppressLineNumbers w:val="0"/>
        <w:spacing w:before="0" w:beforeAutospacing="0" w:after="0" w:afterAutospacing="0" w:line="600" w:lineRule="atLeast"/>
        <w:ind w:left="640" w:leftChars="0" w:right="0" w:rightChars="0"/>
        <w:jc w:val="both"/>
        <w:rPr>
          <w:rStyle w:val="5"/>
          <w:rFonts w:hint="eastAsia" w:ascii="仿宋" w:hAnsi="仿宋" w:eastAsia="仿宋" w:cs="Arial"/>
          <w:b/>
          <w:kern w:val="0"/>
          <w:sz w:val="32"/>
          <w:szCs w:val="32"/>
          <w:highlight w:val="none"/>
          <w:shd w:val="clear" w:fill="FFFFFF"/>
        </w:rPr>
      </w:pPr>
      <w:r>
        <w:rPr>
          <w:rStyle w:val="5"/>
          <w:rFonts w:hint="eastAsia" w:ascii="仿宋" w:hAnsi="仿宋" w:eastAsia="仿宋" w:cs="Arial"/>
          <w:b/>
          <w:kern w:val="0"/>
          <w:sz w:val="32"/>
          <w:szCs w:val="32"/>
          <w:highlight w:val="none"/>
          <w:shd w:val="clear" w:fill="FFFFFF"/>
          <w:lang w:val="en-US" w:eastAsia="zh-CN"/>
        </w:rPr>
        <w:t>4.</w:t>
      </w:r>
      <w:r>
        <w:rPr>
          <w:rStyle w:val="5"/>
          <w:rFonts w:hint="eastAsia" w:ascii="仿宋" w:hAnsi="仿宋" w:eastAsia="仿宋" w:cs="Arial"/>
          <w:b/>
          <w:kern w:val="0"/>
          <w:sz w:val="32"/>
          <w:szCs w:val="32"/>
          <w:highlight w:val="none"/>
          <w:shd w:val="clear" w:fill="FFFFFF"/>
        </w:rPr>
        <w:t>部门评价项目绩效评价结果。</w:t>
      </w:r>
      <w:r>
        <w:rPr>
          <w:rFonts w:hint="eastAsia" w:ascii="仿宋" w:hAnsi="仿宋" w:eastAsia="仿宋" w:cs="仿宋"/>
          <w:kern w:val="0"/>
          <w:sz w:val="32"/>
          <w:szCs w:val="32"/>
          <w:highlight w:val="none"/>
          <w:shd w:val="clear" w:fill="FFFFFF"/>
          <w:lang w:eastAsia="zh-CN"/>
        </w:rPr>
        <w:t>无</w:t>
      </w:r>
    </w:p>
    <w:p>
      <w:pPr>
        <w:autoSpaceDE w:val="0"/>
        <w:autoSpaceDN w:val="0"/>
        <w:adjustRightInd w:val="0"/>
        <w:spacing w:line="600" w:lineRule="exact"/>
        <w:ind w:firstLine="640"/>
        <w:rPr>
          <w:rFonts w:hint="eastAsia" w:ascii="仿宋" w:hAnsi="Times New Roman" w:eastAsia="仿宋"/>
          <w:color w:val="000000"/>
          <w:sz w:val="32"/>
        </w:rPr>
      </w:pPr>
      <w:r>
        <w:rPr>
          <w:rFonts w:hint="eastAsia" w:ascii="仿宋" w:hAnsi="Times New Roman" w:eastAsia="仿宋"/>
          <w:color w:val="000000"/>
          <w:sz w:val="32"/>
        </w:rPr>
        <w:t>说明：部门评价是指以部门为主体开展的重点绩效评价；财政评价是指以财政部门为主体开展的重点绩效评价。</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楷体" w:hAnsi="楷体" w:eastAsia="楷体" w:cs="楷体"/>
          <w:b/>
          <w:kern w:val="0"/>
          <w:sz w:val="32"/>
          <w:szCs w:val="32"/>
          <w:highlight w:val="none"/>
          <w:shd w:val="clear" w:fill="FFFFFF"/>
        </w:rPr>
        <w:t>（十）其他重要事项的情况说明</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仿宋" w:hAnsi="仿宋" w:eastAsia="仿宋" w:cs="Arial"/>
          <w:b/>
          <w:kern w:val="0"/>
          <w:sz w:val="32"/>
          <w:szCs w:val="32"/>
          <w:highlight w:val="none"/>
          <w:shd w:val="clear" w:fill="FFFFFF"/>
        </w:rPr>
        <w:t>1.机关运行经费支出情况。</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highlight w:val="none"/>
          <w:shd w:val="clear" w:fill="FFFFFF"/>
          <w:lang w:eastAsia="zh-CN"/>
        </w:rPr>
      </w:pPr>
      <w:r>
        <w:rPr>
          <w:rFonts w:hint="eastAsia" w:ascii="仿宋" w:hAnsi="仿宋" w:eastAsia="仿宋" w:cs="Arial"/>
          <w:kern w:val="0"/>
          <w:sz w:val="32"/>
          <w:szCs w:val="32"/>
          <w:highlight w:val="none"/>
          <w:shd w:val="clear" w:fill="FFFFFF"/>
        </w:rPr>
        <w:t>2019年度机关运行经费支出0万元，</w:t>
      </w:r>
      <w:r>
        <w:rPr>
          <w:rFonts w:hint="eastAsia" w:ascii="仿宋" w:hAnsi="仿宋" w:eastAsia="仿宋" w:cs="Arial"/>
          <w:kern w:val="0"/>
          <w:sz w:val="32"/>
          <w:szCs w:val="32"/>
          <w:highlight w:val="none"/>
          <w:shd w:val="clear" w:fill="FFFFFF"/>
          <w:lang w:eastAsia="zh-CN"/>
        </w:rPr>
        <w:t>主要原因是本单位为事业单位，无机关运行经费。</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仿宋" w:hAnsi="仿宋" w:eastAsia="仿宋" w:cs="Arial"/>
          <w:b/>
          <w:kern w:val="0"/>
          <w:sz w:val="32"/>
          <w:szCs w:val="32"/>
          <w:highlight w:val="none"/>
          <w:shd w:val="clear" w:fill="FFFFFF"/>
        </w:rPr>
        <w:t>2.政府采购支出情况。</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Arial"/>
          <w:kern w:val="0"/>
          <w:sz w:val="32"/>
          <w:szCs w:val="32"/>
          <w:highlight w:val="none"/>
          <w:shd w:val="clear" w:fill="FFFFFF"/>
        </w:rPr>
        <w:t>2019年度政府采购支出总额237.91万元，其中：政府采购货物支出0万元、政府采购工程支出0万元、政府采购服务支出237.91万元。授予中小企业合同金额11.84万元，占政府采购支出总额的4.98%。其中，授予小微企业合同金额11.84万元，占政府采购支出总额的4.98%。</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仿宋" w:hAnsi="仿宋" w:eastAsia="仿宋" w:cs="Arial"/>
          <w:b/>
          <w:kern w:val="0"/>
          <w:sz w:val="32"/>
          <w:szCs w:val="32"/>
          <w:highlight w:val="none"/>
          <w:shd w:val="clear" w:fill="FFFFFF"/>
        </w:rPr>
        <w:t>3.国有资产占有使用情况。</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Fonts w:hint="eastAsia" w:ascii="仿宋" w:hAnsi="仿宋" w:eastAsia="仿宋" w:cs="仿宋"/>
          <w:kern w:val="0"/>
          <w:sz w:val="32"/>
          <w:szCs w:val="32"/>
          <w:highlight w:val="none"/>
          <w:shd w:val="clear" w:fill="FFFFFF"/>
        </w:rPr>
        <w:t>截至</w:t>
      </w:r>
      <w:r>
        <w:rPr>
          <w:rFonts w:hint="eastAsia" w:ascii="仿宋" w:hAnsi="仿宋" w:eastAsia="仿宋" w:cs="Arial"/>
          <w:kern w:val="0"/>
          <w:sz w:val="32"/>
          <w:szCs w:val="32"/>
          <w:highlight w:val="none"/>
          <w:shd w:val="clear" w:fill="FFFFFF"/>
        </w:rPr>
        <w:t>2019年12月31日，</w:t>
      </w:r>
      <w:r>
        <w:rPr>
          <w:rFonts w:hint="eastAsia" w:ascii="仿宋" w:hAnsi="仿宋" w:eastAsia="仿宋" w:cs="仿宋"/>
          <w:kern w:val="0"/>
          <w:sz w:val="32"/>
          <w:szCs w:val="32"/>
          <w:highlight w:val="none"/>
          <w:shd w:val="clear" w:fill="FFFFFF"/>
        </w:rPr>
        <w:t>鹿城区规划编研中心本级及所属各单位共有车辆</w:t>
      </w:r>
      <w:r>
        <w:rPr>
          <w:rFonts w:hint="eastAsia" w:ascii="仿宋" w:hAnsi="仿宋" w:eastAsia="仿宋" w:cs="Arial"/>
          <w:kern w:val="0"/>
          <w:sz w:val="32"/>
          <w:szCs w:val="32"/>
          <w:highlight w:val="none"/>
          <w:shd w:val="clear" w:fill="FFFFFF"/>
        </w:rPr>
        <w:t xml:space="preserve">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 </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highlight w:val="none"/>
        </w:rPr>
      </w:pPr>
      <w:r>
        <w:rPr>
          <w:rStyle w:val="5"/>
          <w:rFonts w:hint="eastAsia" w:ascii="黑体" w:hAnsi="宋体" w:eastAsia="黑体" w:cs="黑体"/>
          <w:b/>
          <w:kern w:val="0"/>
          <w:sz w:val="32"/>
          <w:szCs w:val="32"/>
          <w:highlight w:val="none"/>
          <w:shd w:val="clear" w:fill="FFFFFF"/>
        </w:rPr>
        <w:t>四、名词解释</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lang w:val="zh-CN"/>
        </w:rPr>
      </w:pPr>
      <w:r>
        <w:rPr>
          <w:rFonts w:hint="eastAsia" w:ascii="仿宋" w:hAnsi="Times New Roman" w:eastAsia="仿宋"/>
          <w:color w:val="000000"/>
          <w:sz w:val="32"/>
          <w:highlight w:val="white"/>
          <w:lang w:val="zh-CN"/>
        </w:rPr>
        <w:t>1.财政拨款收入：指本级财政部门当年拨付的财政预算资金，包括一般公共预算财政拨款和政府性基金预算财政拨款。</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lang w:val="zh-CN"/>
        </w:rPr>
        <w:t>2.事业收入：指事业单位开展专业业务活动及辅助活动所取得的收入。</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3.经营收入：指事业单位在专业业务活动及辅助活动之外开展非独立核算经营活动取得的收入。</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4.上级补助收入：指事业单位从主管部门和上级单位取得的非财政补助收入。</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5.附属单位上缴收入：指事业单位附属独立核算单位按照有关规定上缴的收入。</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6.其他收入：指预算单位在</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财政拨款</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事业收入</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经营收入</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上级补助收入</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附属单位上缴收入</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等之外取得的各项收入。</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7.用事业基金弥补收支差额：指事业单位动用非财政拨款结余弥补收支差额的金额。</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8.年初结转和结余：指预算单位以前年度尚未完成、结转到本年仍按原规定用途继续使用的资金。</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9.年末结转和结余：指单位按有关规定结转到下年或以后年度继续使用的资金。</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10.基本支出：指预算单位为保障其正常运转，完成日常工作任务所发生的支出，包括人员经费支出和日常公用经费支出。</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11.项目支出：指预算单位为完成其特定的行政工作任务或事业发展目标所发生的支出。</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12.经营支出：指事业单位在专业业务活动及其辅助活动之外开展非独立核算经营活动发生的支出。</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13.</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三公</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经费：纳入财政预决算管理的</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三公</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autoSpaceDE w:val="0"/>
        <w:autoSpaceDN w:val="0"/>
        <w:adjustRightInd w:val="0"/>
        <w:spacing w:beforeLines="0" w:afterLines="0"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14.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jc w:val="both"/>
        <w:rPr>
          <w:rFonts w:ascii="仿宋" w:hAnsi="仿宋" w:eastAsia="仿宋" w:cs="Arial"/>
          <w:sz w:val="32"/>
          <w:szCs w:val="32"/>
        </w:rPr>
      </w:pPr>
      <w:r>
        <w:rPr>
          <w:rFonts w:hint="eastAsia" w:ascii="仿宋" w:hAnsi="仿宋" w:eastAsia="仿宋" w:cs="Arial"/>
          <w:kern w:val="0"/>
          <w:sz w:val="32"/>
          <w:szCs w:val="32"/>
          <w:highlight w:val="none"/>
        </w:rPr>
        <w:t>1</w:t>
      </w:r>
      <w:r>
        <w:rPr>
          <w:rFonts w:hint="eastAsia" w:ascii="仿宋" w:hAnsi="仿宋" w:eastAsia="仿宋" w:cs="Arial"/>
          <w:kern w:val="0"/>
          <w:sz w:val="32"/>
          <w:szCs w:val="32"/>
          <w:highlight w:val="none"/>
          <w:lang w:val="en-US" w:eastAsia="zh-CN"/>
        </w:rPr>
        <w:t>5</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社会保障和就业支出（类）行政事业单位离退休（款）机关事业单位基本养老保险缴费支出（项）：</w:t>
      </w:r>
      <w:r>
        <w:rPr>
          <w:rFonts w:hint="eastAsia" w:ascii="仿宋" w:hAnsi="仿宋" w:eastAsia="仿宋" w:cs="Arial"/>
          <w:sz w:val="32"/>
          <w:szCs w:val="32"/>
        </w:rPr>
        <w:t>是指机关事业单位实施养老保险制度由单位缴纳的基本养老保险费支出。</w:t>
      </w:r>
    </w:p>
    <w:p>
      <w:pPr>
        <w:spacing w:line="600" w:lineRule="atLeast"/>
        <w:ind w:firstLine="640"/>
        <w:jc w:val="both"/>
        <w:rPr>
          <w:rFonts w:ascii="仿宋" w:hAnsi="仿宋" w:eastAsia="仿宋" w:cs="Arial"/>
          <w:sz w:val="32"/>
          <w:szCs w:val="32"/>
        </w:rPr>
      </w:pPr>
      <w:r>
        <w:rPr>
          <w:rFonts w:hint="eastAsia" w:ascii="仿宋" w:hAnsi="仿宋" w:eastAsia="仿宋" w:cs="Arial"/>
          <w:kern w:val="0"/>
          <w:sz w:val="32"/>
          <w:szCs w:val="32"/>
          <w:highlight w:val="none"/>
        </w:rPr>
        <w:t>1</w:t>
      </w:r>
      <w:r>
        <w:rPr>
          <w:rFonts w:hint="eastAsia" w:ascii="仿宋" w:hAnsi="仿宋" w:eastAsia="仿宋" w:cs="Arial"/>
          <w:kern w:val="0"/>
          <w:sz w:val="32"/>
          <w:szCs w:val="32"/>
          <w:highlight w:val="none"/>
          <w:lang w:val="en-US" w:eastAsia="zh-CN"/>
        </w:rPr>
        <w:t>6</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社会保障和就业支出（类）行政事业单位离退休（款）机关事业单位职业年金缴费支出（项）：</w:t>
      </w:r>
      <w:r>
        <w:rPr>
          <w:rFonts w:hint="eastAsia" w:ascii="仿宋" w:hAnsi="仿宋" w:eastAsia="仿宋" w:cs="Arial"/>
          <w:sz w:val="32"/>
          <w:szCs w:val="32"/>
        </w:rPr>
        <w:t>是指行政事业单位职业年金缴费支出。</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Arial"/>
          <w:kern w:val="0"/>
          <w:sz w:val="32"/>
          <w:szCs w:val="32"/>
          <w:highlight w:val="none"/>
        </w:rPr>
        <w:t>1</w:t>
      </w:r>
      <w:r>
        <w:rPr>
          <w:rFonts w:hint="eastAsia" w:ascii="仿宋" w:hAnsi="仿宋" w:eastAsia="仿宋" w:cs="Arial"/>
          <w:kern w:val="0"/>
          <w:sz w:val="32"/>
          <w:szCs w:val="32"/>
          <w:highlight w:val="none"/>
          <w:lang w:val="en-US" w:eastAsia="zh-CN"/>
        </w:rPr>
        <w:t>7</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卫生健康支出（类）行政事业单位医疗（款）事业单位医疗（项）：</w:t>
      </w:r>
      <w:r>
        <w:rPr>
          <w:rFonts w:hint="eastAsia" w:ascii="仿宋" w:hAnsi="仿宋" w:eastAsia="仿宋" w:cs="仿宋"/>
          <w:kern w:val="0"/>
          <w:sz w:val="32"/>
          <w:szCs w:val="32"/>
          <w:highlight w:val="none"/>
          <w:lang w:eastAsia="zh-CN"/>
        </w:rPr>
        <w:t>是指</w:t>
      </w:r>
      <w:r>
        <w:rPr>
          <w:rFonts w:hint="eastAsia" w:ascii="仿宋" w:hAnsi="仿宋" w:eastAsia="仿宋" w:cs="仿宋"/>
          <w:kern w:val="0"/>
          <w:sz w:val="32"/>
          <w:szCs w:val="32"/>
          <w:highlight w:val="none"/>
        </w:rPr>
        <w:t>财政部门安排的事业单位基本医疗保险缴费经费，未参加医疗保险的事业单位的公费医疗经费，按国家规定享受离休人员待遇的医疗经费。。</w:t>
      </w:r>
    </w:p>
    <w:p>
      <w:pPr>
        <w:keepNext w:val="0"/>
        <w:keepLines w:val="0"/>
        <w:widowControl/>
        <w:suppressLineNumbers w:val="0"/>
        <w:spacing w:line="600" w:lineRule="atLeast"/>
        <w:ind w:left="0" w:firstLine="640" w:firstLineChars="200"/>
        <w:jc w:val="both"/>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1</w:t>
      </w:r>
      <w:r>
        <w:rPr>
          <w:rFonts w:hint="eastAsia" w:ascii="仿宋" w:hAnsi="仿宋" w:eastAsia="仿宋" w:cs="Arial"/>
          <w:kern w:val="0"/>
          <w:sz w:val="32"/>
          <w:szCs w:val="32"/>
          <w:highlight w:val="none"/>
          <w:lang w:val="en-US" w:eastAsia="zh-CN"/>
        </w:rPr>
        <w:t>8</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住房保障支出</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类</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住房改革支出（款）住房公积金</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项</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w:t>
      </w:r>
      <w:r>
        <w:rPr>
          <w:rFonts w:hint="eastAsia" w:ascii="仿宋" w:hAnsi="仿宋" w:eastAsia="仿宋" w:cs="Arial"/>
          <w:sz w:val="32"/>
          <w:szCs w:val="32"/>
        </w:rPr>
        <w:t>是指行政事业单位按人力资源和社会保障部、财政部规定的基本工资和津补贴以及规定比例为职工缴纳的住房公积金。</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Arial"/>
          <w:kern w:val="0"/>
          <w:sz w:val="32"/>
          <w:szCs w:val="32"/>
          <w:highlight w:val="none"/>
        </w:rPr>
        <w:t>1</w:t>
      </w:r>
      <w:r>
        <w:rPr>
          <w:rFonts w:hint="eastAsia" w:ascii="仿宋" w:hAnsi="仿宋" w:eastAsia="仿宋" w:cs="Arial"/>
          <w:kern w:val="0"/>
          <w:sz w:val="32"/>
          <w:szCs w:val="32"/>
          <w:highlight w:val="none"/>
          <w:lang w:val="en-US" w:eastAsia="zh-CN"/>
        </w:rPr>
        <w:t>9</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城乡社区支出</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类</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城乡社区规划与管理（款）城乡社区规划与管理</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项</w:t>
      </w:r>
      <w:r>
        <w:rPr>
          <w:rFonts w:hint="eastAsia" w:ascii="仿宋" w:hAnsi="仿宋" w:eastAsia="仿宋" w:cs="Arial"/>
          <w:kern w:val="0"/>
          <w:sz w:val="32"/>
          <w:szCs w:val="32"/>
          <w:highlight w:val="none"/>
        </w:rPr>
        <w:t>)</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是指</w:t>
      </w:r>
      <w:r>
        <w:rPr>
          <w:rFonts w:hint="eastAsia" w:ascii="仿宋" w:hAnsi="仿宋" w:eastAsia="仿宋" w:cs="仿宋"/>
          <w:kern w:val="0"/>
          <w:sz w:val="32"/>
          <w:szCs w:val="32"/>
          <w:highlight w:val="none"/>
        </w:rPr>
        <w:t xml:space="preserve">反映城乡社区、防灾减灾、历史名城规划制定与管理等方面的支出。 </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 </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 </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 </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 </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 </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 </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 </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 </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 </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 </w:t>
      </w:r>
    </w:p>
    <w:p>
      <w:pPr>
        <w:keepNext w:val="0"/>
        <w:keepLines w:val="0"/>
        <w:widowControl/>
        <w:suppressLineNumbers w:val="0"/>
        <w:spacing w:line="600" w:lineRule="atLeast"/>
        <w:ind w:left="0" w:firstLine="640" w:firstLineChars="200"/>
        <w:jc w:val="both"/>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 </w:t>
      </w:r>
    </w:p>
    <w:p>
      <w:pPr>
        <w:keepNext w:val="0"/>
        <w:keepLines w:val="0"/>
        <w:widowControl/>
        <w:suppressLineNumbers w:val="0"/>
        <w:spacing w:line="600" w:lineRule="atLeast"/>
        <w:ind w:left="0" w:firstLine="640" w:firstLineChars="200"/>
        <w:jc w:val="both"/>
        <w:rPr>
          <w:rFonts w:hint="eastAsia" w:ascii="宋体" w:hAnsi="宋体" w:eastAsia="宋体" w:cs="宋体"/>
          <w:i w:val="0"/>
          <w:color w:val="000000"/>
          <w:kern w:val="0"/>
          <w:sz w:val="44"/>
          <w:szCs w:val="44"/>
          <w:highlight w:val="none"/>
        </w:rPr>
        <w:sectPr>
          <w:pgSz w:w="11915" w:h="16851"/>
          <w:pgMar w:top="1440" w:right="1800" w:bottom="1440" w:left="1800" w:header="851" w:footer="992" w:gutter="0"/>
          <w:cols w:space="0" w:num="1"/>
          <w:docGrid w:type="lines" w:linePitch="312" w:charSpace="0"/>
        </w:sectPr>
      </w:pPr>
      <w:r>
        <w:rPr>
          <w:rFonts w:hint="eastAsia" w:ascii="仿宋" w:hAnsi="仿宋" w:eastAsia="仿宋" w:cs="仿宋"/>
          <w:kern w:val="0"/>
          <w:sz w:val="32"/>
          <w:szCs w:val="32"/>
          <w:highlight w:val="none"/>
        </w:rPr>
        <w:t xml:space="preserve"> </w:t>
      </w:r>
    </w:p>
    <w:p>
      <w:pPr>
        <w:keepNext w:val="0"/>
        <w:keepLines w:val="0"/>
        <w:widowControl/>
        <w:suppressLineNumbers w:val="0"/>
        <w:spacing w:before="0" w:beforeAutospacing="0" w:after="0" w:afterAutospacing="0" w:line="600" w:lineRule="atLeast"/>
        <w:ind w:right="0"/>
        <w:jc w:val="both"/>
        <w:rPr>
          <w:highlight w:val="none"/>
        </w:rPr>
      </w:pPr>
    </w:p>
    <w:sectPr>
      <w:pgSz w:w="16851" w:h="11915" w:orient="landscape"/>
      <w:pgMar w:top="1800" w:right="1440" w:bottom="18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MjE5NDcwNjhmMmQzZTYzZWU5N2VlYmJiNTg1NGUifQ=="/>
  </w:docVars>
  <w:rsids>
    <w:rsidRoot w:val="00000000"/>
    <w:rsid w:val="00D033A5"/>
    <w:rsid w:val="01CB002D"/>
    <w:rsid w:val="03730D5B"/>
    <w:rsid w:val="0AE07622"/>
    <w:rsid w:val="395B1214"/>
    <w:rsid w:val="45051401"/>
    <w:rsid w:val="45C010D9"/>
    <w:rsid w:val="485D12FF"/>
    <w:rsid w:val="4B067814"/>
    <w:rsid w:val="51A01342"/>
    <w:rsid w:val="54172CDA"/>
    <w:rsid w:val="613D719C"/>
    <w:rsid w:val="727A3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7"/>
    <w:basedOn w:val="3"/>
    <w:qFormat/>
    <w:uiPriority w:val="0"/>
    <w:rPr>
      <w:rFonts w:hint="default" w:ascii="Times New Roman" w:hAnsi="Times New Roman" w:cs="Times New Roman"/>
      <w:b/>
    </w:rPr>
  </w:style>
  <w:style w:type="character" w:customStyle="1" w:styleId="6">
    <w:name w:val="15"/>
    <w:basedOn w:val="3"/>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2020-08-27T03:15:00Z</dcterms:created>
  <dc:creator>Administrator</dc:creator>
  <cp:lastModifiedBy>WPS_1652163911</cp:lastModifiedBy>
  <dcterms:modified xsi:type="dcterms:W3CDTF">2022-06-22T01:57:35Z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C6F95A1569DD4219877C58A89178B01B</vt:lpwstr>
  </property>
</Properties>
</file>