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spacing w:line="700" w:lineRule="exact"/>
        <w:jc w:val="center"/>
        <w:rPr>
          <w:rFonts w:ascii="黑体" w:hAnsi="黑体" w:eastAsia="黑体"/>
          <w:sz w:val="56"/>
          <w:szCs w:val="44"/>
        </w:rPr>
      </w:pPr>
    </w:p>
    <w:p>
      <w:pPr>
        <w:widowControl w:val="0"/>
        <w:spacing w:line="700" w:lineRule="exact"/>
        <w:jc w:val="center"/>
        <w:rPr>
          <w:rFonts w:ascii="黑体" w:hAnsi="黑体" w:eastAsia="黑体"/>
          <w:sz w:val="56"/>
          <w:szCs w:val="44"/>
        </w:rPr>
      </w:pPr>
    </w:p>
    <w:p>
      <w:pPr>
        <w:widowControl w:val="0"/>
        <w:spacing w:line="360" w:lineRule="auto"/>
        <w:jc w:val="center"/>
        <w:rPr>
          <w:rFonts w:ascii="黑体" w:hAnsi="黑体" w:eastAsia="黑体"/>
          <w:sz w:val="52"/>
          <w:szCs w:val="52"/>
        </w:rPr>
      </w:pPr>
      <w:r>
        <w:rPr>
          <w:rFonts w:hint="eastAsia" w:ascii="黑体" w:hAnsi="黑体" w:eastAsia="黑体"/>
          <w:sz w:val="52"/>
          <w:szCs w:val="52"/>
        </w:rPr>
        <w:t>温州市鹿城区教育事业发展</w:t>
      </w:r>
    </w:p>
    <w:p>
      <w:pPr>
        <w:widowControl w:val="0"/>
        <w:spacing w:line="360" w:lineRule="auto"/>
        <w:jc w:val="center"/>
        <w:rPr>
          <w:rFonts w:ascii="黑体" w:hAnsi="黑体" w:eastAsia="黑体"/>
          <w:sz w:val="52"/>
          <w:szCs w:val="52"/>
        </w:rPr>
      </w:pPr>
      <w:r>
        <w:rPr>
          <w:rFonts w:hint="eastAsia" w:ascii="黑体" w:hAnsi="黑体" w:eastAsia="黑体"/>
          <w:sz w:val="52"/>
          <w:szCs w:val="52"/>
        </w:rPr>
        <w:t>“十四五”规划</w:t>
      </w:r>
    </w:p>
    <w:p>
      <w:pPr>
        <w:widowControl w:val="0"/>
        <w:spacing w:line="560" w:lineRule="exact"/>
        <w:jc w:val="center"/>
        <w:rPr>
          <w:rFonts w:ascii="黑体" w:hAnsi="黑体" w:eastAsia="黑体"/>
          <w:sz w:val="56"/>
          <w:szCs w:val="44"/>
        </w:rPr>
      </w:pPr>
    </w:p>
    <w:p>
      <w:pPr>
        <w:widowControl w:val="0"/>
        <w:spacing w:line="480" w:lineRule="auto"/>
        <w:jc w:val="center"/>
        <w:rPr>
          <w:rFonts w:ascii="黑体" w:hAnsi="黑体" w:eastAsia="黑体" w:cs="宋体"/>
          <w:b/>
          <w:bCs/>
          <w:sz w:val="32"/>
          <w:szCs w:val="32"/>
        </w:rPr>
      </w:pPr>
    </w:p>
    <w:p>
      <w:pPr>
        <w:widowControl w:val="0"/>
        <w:spacing w:line="480" w:lineRule="auto"/>
        <w:rPr>
          <w:rFonts w:ascii="宋体" w:hAnsi="宋体" w:cs="宋体"/>
          <w:b/>
          <w:bCs/>
          <w:sz w:val="36"/>
          <w:szCs w:val="36"/>
        </w:rPr>
      </w:pPr>
    </w:p>
    <w:p>
      <w:pPr>
        <w:pStyle w:val="2"/>
      </w:pPr>
    </w:p>
    <w:p>
      <w:pPr>
        <w:pStyle w:val="2"/>
        <w:rPr>
          <w:rFonts w:ascii="宋体" w:hAnsi="宋体" w:cs="宋体"/>
          <w:b/>
          <w:bCs/>
          <w:sz w:val="36"/>
          <w:szCs w:val="36"/>
        </w:rPr>
      </w:pPr>
    </w:p>
    <w:p>
      <w:pPr>
        <w:pStyle w:val="2"/>
        <w:rPr>
          <w:rFonts w:ascii="宋体" w:hAnsi="宋体" w:cs="宋体"/>
          <w:b/>
          <w:bCs/>
          <w:sz w:val="36"/>
          <w:szCs w:val="36"/>
        </w:rPr>
      </w:pPr>
    </w:p>
    <w:p>
      <w:pPr>
        <w:widowControl w:val="0"/>
        <w:spacing w:line="480" w:lineRule="auto"/>
        <w:jc w:val="center"/>
        <w:rPr>
          <w:rFonts w:ascii="宋体" w:hAnsi="宋体" w:cs="宋体"/>
          <w:b/>
          <w:bCs/>
          <w:sz w:val="36"/>
          <w:szCs w:val="36"/>
        </w:rPr>
      </w:pPr>
    </w:p>
    <w:p>
      <w:pPr>
        <w:widowControl w:val="0"/>
        <w:spacing w:line="480" w:lineRule="auto"/>
        <w:jc w:val="center"/>
        <w:rPr>
          <w:rFonts w:ascii="宋体" w:hAnsi="宋体" w:cs="宋体"/>
          <w:b/>
          <w:bCs/>
          <w:sz w:val="36"/>
          <w:szCs w:val="36"/>
        </w:rPr>
      </w:pPr>
    </w:p>
    <w:p>
      <w:pPr>
        <w:widowControl w:val="0"/>
        <w:spacing w:line="360" w:lineRule="auto"/>
        <w:jc w:val="center"/>
        <w:rPr>
          <w:rFonts w:ascii="黑体" w:hAnsi="黑体" w:eastAsia="黑体" w:cs="宋体"/>
          <w:bCs/>
          <w:sz w:val="32"/>
          <w:szCs w:val="36"/>
        </w:rPr>
      </w:pPr>
      <w:r>
        <w:rPr>
          <w:rFonts w:hint="eastAsia" w:ascii="黑体" w:hAnsi="黑体" w:eastAsia="黑体" w:cs="宋体"/>
          <w:bCs/>
          <w:sz w:val="32"/>
          <w:szCs w:val="36"/>
        </w:rPr>
        <w:t>温州市鹿城区教育局</w:t>
      </w:r>
    </w:p>
    <w:p>
      <w:pPr>
        <w:widowControl w:val="0"/>
        <w:spacing w:line="360" w:lineRule="auto"/>
        <w:ind w:firstLine="3200" w:firstLineChars="1000"/>
        <w:rPr>
          <w:rFonts w:ascii="宋体" w:hAnsi="宋体" w:cs="宋体"/>
          <w:bCs/>
          <w:sz w:val="32"/>
          <w:szCs w:val="36"/>
        </w:rPr>
        <w:sectPr>
          <w:headerReference r:id="rId6" w:type="first"/>
          <w:footerReference r:id="rId9" w:type="first"/>
          <w:headerReference r:id="rId4" w:type="default"/>
          <w:footerReference r:id="rId7" w:type="default"/>
          <w:headerReference r:id="rId5" w:type="even"/>
          <w:footerReference r:id="rId8" w:type="even"/>
          <w:pgSz w:w="11906" w:h="16838"/>
          <w:pgMar w:top="1440" w:right="1800" w:bottom="1440" w:left="1800" w:header="851" w:footer="992" w:gutter="0"/>
          <w:pgNumType w:fmt="upperRoman"/>
          <w:cols w:space="425" w:num="1"/>
          <w:titlePg/>
          <w:docGrid w:type="lines" w:linePitch="312" w:charSpace="0"/>
        </w:sectPr>
      </w:pPr>
      <w:r>
        <w:rPr>
          <w:rFonts w:hint="eastAsia" w:ascii="宋体" w:hAnsi="宋体" w:cs="宋体"/>
          <w:bCs/>
          <w:sz w:val="32"/>
          <w:szCs w:val="36"/>
        </w:rPr>
        <w:t>2021年8月</w:t>
      </w:r>
    </w:p>
    <w:p>
      <w:pPr>
        <w:widowControl w:val="0"/>
        <w:spacing w:line="480" w:lineRule="auto"/>
        <w:jc w:val="center"/>
        <w:rPr>
          <w:rFonts w:ascii="宋体" w:hAnsi="宋体" w:cs="宋体"/>
          <w:bCs/>
          <w:sz w:val="32"/>
          <w:szCs w:val="36"/>
        </w:rPr>
      </w:pPr>
      <w:r>
        <w:rPr>
          <w:rFonts w:ascii="宋体" w:hAnsi="宋体" w:eastAsia="宋体"/>
          <w:b/>
          <w:bCs/>
          <w:sz w:val="44"/>
          <w:szCs w:val="48"/>
        </w:rPr>
        <w:t>目录</w:t>
      </w:r>
    </w:p>
    <w:p>
      <w:pPr>
        <w:pStyle w:val="12"/>
        <w:tabs>
          <w:tab w:val="right" w:leader="dot" w:pos="8306"/>
        </w:tabs>
      </w:pPr>
      <w:r>
        <w:rPr>
          <w:rFonts w:hint="eastAsia" w:ascii="仿宋" w:hAnsi="仿宋" w:eastAsia="仿宋" w:cs="仿宋"/>
          <w:b/>
          <w:bCs/>
        </w:rPr>
        <w:fldChar w:fldCharType="begin"/>
      </w:r>
      <w:r>
        <w:rPr>
          <w:rFonts w:hint="eastAsia" w:ascii="仿宋" w:hAnsi="仿宋" w:eastAsia="仿宋" w:cs="仿宋"/>
          <w:b/>
          <w:bCs/>
        </w:rPr>
        <w:instrText xml:space="preserve">TOC \o "1-2" \h \u </w:instrText>
      </w:r>
      <w:r>
        <w:rPr>
          <w:rFonts w:hint="eastAsia" w:ascii="仿宋" w:hAnsi="仿宋" w:eastAsia="仿宋" w:cs="仿宋"/>
          <w:b/>
          <w:bCs/>
        </w:rPr>
        <w:fldChar w:fldCharType="separate"/>
      </w:r>
      <w:r>
        <w:fldChar w:fldCharType="begin"/>
      </w:r>
      <w:r>
        <w:instrText xml:space="preserve"> HYPERLINK \l "_Toc3505" </w:instrText>
      </w:r>
      <w:r>
        <w:fldChar w:fldCharType="separate"/>
      </w:r>
      <w:r>
        <w:rPr>
          <w:rFonts w:hint="eastAsia" w:ascii="仿宋" w:hAnsi="仿宋" w:eastAsia="仿宋" w:cs="仿宋"/>
          <w:b/>
          <w:szCs w:val="20"/>
        </w:rPr>
        <w:t>一、发展基础</w:t>
      </w:r>
      <w:r>
        <w:rPr>
          <w:b/>
        </w:rPr>
        <w:tab/>
      </w:r>
      <w:r>
        <w:rPr>
          <w:b/>
        </w:rPr>
        <w:fldChar w:fldCharType="begin"/>
      </w:r>
      <w:r>
        <w:rPr>
          <w:b/>
        </w:rPr>
        <w:instrText xml:space="preserve"> PAGEREF _Toc3505 \h </w:instrText>
      </w:r>
      <w:r>
        <w:rPr>
          <w:b/>
        </w:rPr>
        <w:fldChar w:fldCharType="separate"/>
      </w:r>
      <w:r>
        <w:rPr>
          <w:b/>
        </w:rPr>
        <w:t>1</w:t>
      </w:r>
      <w:r>
        <w:rPr>
          <w:b/>
        </w:rPr>
        <w:fldChar w:fldCharType="end"/>
      </w:r>
      <w:r>
        <w:rPr>
          <w:b/>
        </w:rPr>
        <w:fldChar w:fldCharType="end"/>
      </w:r>
    </w:p>
    <w:p>
      <w:pPr>
        <w:pStyle w:val="13"/>
        <w:tabs>
          <w:tab w:val="right" w:leader="dot" w:pos="8306"/>
        </w:tabs>
        <w:ind w:left="440"/>
      </w:pPr>
      <w:r>
        <w:fldChar w:fldCharType="begin"/>
      </w:r>
      <w:r>
        <w:instrText xml:space="preserve"> HYPERLINK \l "_Toc30426" </w:instrText>
      </w:r>
      <w:r>
        <w:fldChar w:fldCharType="separate"/>
      </w:r>
      <w:r>
        <w:rPr>
          <w:rFonts w:hint="eastAsia" w:ascii="仿宋" w:hAnsi="仿宋" w:eastAsia="仿宋" w:cs="仿宋"/>
          <w:szCs w:val="21"/>
        </w:rPr>
        <w:t>（一）“十三五”教育事业发展回顾</w:t>
      </w:r>
      <w:r>
        <w:tab/>
      </w:r>
      <w:r>
        <w:fldChar w:fldCharType="begin"/>
      </w:r>
      <w:r>
        <w:instrText xml:space="preserve"> PAGEREF _Toc30426 \h </w:instrText>
      </w:r>
      <w:r>
        <w:fldChar w:fldCharType="separate"/>
      </w:r>
      <w:r>
        <w:t>1</w:t>
      </w:r>
      <w:r>
        <w:fldChar w:fldCharType="end"/>
      </w:r>
      <w:r>
        <w:fldChar w:fldCharType="end"/>
      </w:r>
    </w:p>
    <w:p>
      <w:pPr>
        <w:pStyle w:val="13"/>
        <w:tabs>
          <w:tab w:val="right" w:leader="dot" w:pos="8306"/>
        </w:tabs>
        <w:ind w:left="440"/>
      </w:pPr>
      <w:r>
        <w:fldChar w:fldCharType="begin"/>
      </w:r>
      <w:r>
        <w:instrText xml:space="preserve"> HYPERLINK \l "_Toc24051" </w:instrText>
      </w:r>
      <w:r>
        <w:fldChar w:fldCharType="separate"/>
      </w:r>
      <w:r>
        <w:rPr>
          <w:rFonts w:hint="eastAsia" w:ascii="仿宋" w:hAnsi="仿宋" w:eastAsia="仿宋" w:cs="仿宋"/>
          <w:szCs w:val="21"/>
        </w:rPr>
        <w:t>（二）“十四五”教育事业发展展望</w:t>
      </w:r>
      <w:r>
        <w:tab/>
      </w:r>
      <w:r>
        <w:fldChar w:fldCharType="begin"/>
      </w:r>
      <w:r>
        <w:instrText xml:space="preserve"> PAGEREF _Toc24051 \h </w:instrText>
      </w:r>
      <w:r>
        <w:fldChar w:fldCharType="separate"/>
      </w:r>
      <w:r>
        <w:t>4</w:t>
      </w:r>
      <w:r>
        <w:fldChar w:fldCharType="end"/>
      </w:r>
      <w:r>
        <w:fldChar w:fldCharType="end"/>
      </w:r>
    </w:p>
    <w:p>
      <w:pPr>
        <w:pStyle w:val="12"/>
        <w:tabs>
          <w:tab w:val="right" w:leader="dot" w:pos="8306"/>
        </w:tabs>
        <w:rPr>
          <w:b/>
          <w:bCs/>
        </w:rPr>
      </w:pPr>
      <w:r>
        <w:fldChar w:fldCharType="begin"/>
      </w:r>
      <w:r>
        <w:instrText xml:space="preserve"> HYPERLINK \l "_Toc7705" </w:instrText>
      </w:r>
      <w:r>
        <w:fldChar w:fldCharType="separate"/>
      </w:r>
      <w:r>
        <w:rPr>
          <w:rFonts w:hint="eastAsia" w:ascii="仿宋" w:hAnsi="仿宋" w:eastAsia="仿宋" w:cs="仿宋"/>
          <w:b/>
          <w:bCs/>
          <w:szCs w:val="20"/>
        </w:rPr>
        <w:t>二、发展思路</w:t>
      </w:r>
      <w:r>
        <w:rPr>
          <w:b/>
          <w:bCs/>
        </w:rPr>
        <w:tab/>
      </w:r>
      <w:r>
        <w:rPr>
          <w:b/>
          <w:bCs/>
        </w:rPr>
        <w:fldChar w:fldCharType="begin"/>
      </w:r>
      <w:r>
        <w:rPr>
          <w:b/>
          <w:bCs/>
        </w:rPr>
        <w:instrText xml:space="preserve"> PAGEREF _Toc7705 \h </w:instrText>
      </w:r>
      <w:r>
        <w:rPr>
          <w:b/>
          <w:bCs/>
        </w:rPr>
        <w:fldChar w:fldCharType="separate"/>
      </w:r>
      <w:r>
        <w:rPr>
          <w:b/>
          <w:bCs/>
        </w:rPr>
        <w:t>6</w:t>
      </w:r>
      <w:r>
        <w:rPr>
          <w:b/>
          <w:bCs/>
        </w:rPr>
        <w:fldChar w:fldCharType="end"/>
      </w:r>
      <w:r>
        <w:rPr>
          <w:b/>
          <w:bCs/>
        </w:rPr>
        <w:fldChar w:fldCharType="end"/>
      </w:r>
    </w:p>
    <w:p>
      <w:pPr>
        <w:pStyle w:val="13"/>
        <w:tabs>
          <w:tab w:val="right" w:leader="dot" w:pos="8306"/>
        </w:tabs>
        <w:ind w:left="440"/>
      </w:pPr>
      <w:r>
        <w:fldChar w:fldCharType="begin"/>
      </w:r>
      <w:r>
        <w:instrText xml:space="preserve"> HYPERLINK \l "_Toc9673" </w:instrText>
      </w:r>
      <w:r>
        <w:fldChar w:fldCharType="separate"/>
      </w:r>
      <w:r>
        <w:rPr>
          <w:rFonts w:hint="eastAsia" w:ascii="仿宋" w:hAnsi="仿宋" w:eastAsia="仿宋" w:cs="仿宋"/>
          <w:szCs w:val="21"/>
        </w:rPr>
        <w:t>（一）指导思想</w:t>
      </w:r>
      <w:r>
        <w:tab/>
      </w:r>
      <w:r>
        <w:fldChar w:fldCharType="begin"/>
      </w:r>
      <w:r>
        <w:instrText xml:space="preserve"> PAGEREF _Toc9673 \h </w:instrText>
      </w:r>
      <w:r>
        <w:fldChar w:fldCharType="separate"/>
      </w:r>
      <w:r>
        <w:t>6</w:t>
      </w:r>
      <w:r>
        <w:fldChar w:fldCharType="end"/>
      </w:r>
      <w:r>
        <w:fldChar w:fldCharType="end"/>
      </w:r>
    </w:p>
    <w:p>
      <w:pPr>
        <w:pStyle w:val="13"/>
        <w:tabs>
          <w:tab w:val="right" w:leader="dot" w:pos="8306"/>
        </w:tabs>
        <w:ind w:left="440"/>
      </w:pPr>
      <w:r>
        <w:fldChar w:fldCharType="begin"/>
      </w:r>
      <w:r>
        <w:instrText xml:space="preserve"> HYPERLINK \l "_Toc32003" </w:instrText>
      </w:r>
      <w:r>
        <w:fldChar w:fldCharType="separate"/>
      </w:r>
      <w:r>
        <w:rPr>
          <w:rFonts w:hint="eastAsia" w:ascii="仿宋" w:hAnsi="仿宋" w:eastAsia="仿宋" w:cs="仿宋"/>
          <w:szCs w:val="21"/>
        </w:rPr>
        <w:t>（二）发展原则</w:t>
      </w:r>
      <w:r>
        <w:tab/>
      </w:r>
      <w:r>
        <w:fldChar w:fldCharType="begin"/>
      </w:r>
      <w:r>
        <w:instrText xml:space="preserve"> PAGEREF _Toc32003 \h </w:instrText>
      </w:r>
      <w:r>
        <w:fldChar w:fldCharType="separate"/>
      </w:r>
      <w:r>
        <w:t>6</w:t>
      </w:r>
      <w:r>
        <w:fldChar w:fldCharType="end"/>
      </w:r>
      <w:r>
        <w:fldChar w:fldCharType="end"/>
      </w:r>
    </w:p>
    <w:p>
      <w:pPr>
        <w:pStyle w:val="13"/>
        <w:tabs>
          <w:tab w:val="right" w:leader="dot" w:pos="8306"/>
        </w:tabs>
        <w:ind w:left="440"/>
      </w:pPr>
      <w:r>
        <w:fldChar w:fldCharType="begin"/>
      </w:r>
      <w:r>
        <w:instrText xml:space="preserve"> HYPERLINK \l "_Toc6247" </w:instrText>
      </w:r>
      <w:r>
        <w:fldChar w:fldCharType="separate"/>
      </w:r>
      <w:r>
        <w:rPr>
          <w:rFonts w:hint="eastAsia" w:ascii="仿宋" w:hAnsi="仿宋" w:eastAsia="仿宋" w:cs="仿宋"/>
          <w:szCs w:val="21"/>
        </w:rPr>
        <w:t>（三）总体目标</w:t>
      </w:r>
      <w:r>
        <w:tab/>
      </w:r>
      <w:r>
        <w:fldChar w:fldCharType="begin"/>
      </w:r>
      <w:r>
        <w:instrText xml:space="preserve"> PAGEREF _Toc6247 \h </w:instrText>
      </w:r>
      <w:r>
        <w:fldChar w:fldCharType="separate"/>
      </w:r>
      <w:r>
        <w:t>7</w:t>
      </w:r>
      <w:r>
        <w:fldChar w:fldCharType="end"/>
      </w:r>
      <w:r>
        <w:fldChar w:fldCharType="end"/>
      </w:r>
    </w:p>
    <w:p>
      <w:pPr>
        <w:pStyle w:val="12"/>
        <w:tabs>
          <w:tab w:val="right" w:leader="dot" w:pos="8306"/>
        </w:tabs>
        <w:rPr>
          <w:b/>
          <w:bCs/>
        </w:rPr>
      </w:pPr>
      <w:r>
        <w:fldChar w:fldCharType="begin"/>
      </w:r>
      <w:r>
        <w:instrText xml:space="preserve"> HYPERLINK \l "_Toc24374" </w:instrText>
      </w:r>
      <w:r>
        <w:fldChar w:fldCharType="separate"/>
      </w:r>
      <w:r>
        <w:rPr>
          <w:rFonts w:hint="eastAsia" w:ascii="仿宋" w:hAnsi="仿宋" w:eastAsia="仿宋" w:cs="仿宋"/>
          <w:b/>
          <w:bCs/>
          <w:szCs w:val="20"/>
        </w:rPr>
        <w:t>三、主要任务</w:t>
      </w:r>
      <w:r>
        <w:rPr>
          <w:b/>
          <w:bCs/>
        </w:rPr>
        <w:tab/>
      </w:r>
      <w:r>
        <w:rPr>
          <w:b/>
          <w:bCs/>
        </w:rPr>
        <w:fldChar w:fldCharType="begin"/>
      </w:r>
      <w:r>
        <w:rPr>
          <w:b/>
          <w:bCs/>
        </w:rPr>
        <w:instrText xml:space="preserve"> PAGEREF _Toc24374 \h </w:instrText>
      </w:r>
      <w:r>
        <w:rPr>
          <w:b/>
          <w:bCs/>
        </w:rPr>
        <w:fldChar w:fldCharType="separate"/>
      </w:r>
      <w:r>
        <w:rPr>
          <w:b/>
          <w:bCs/>
        </w:rPr>
        <w:t>10</w:t>
      </w:r>
      <w:r>
        <w:rPr>
          <w:b/>
          <w:bCs/>
        </w:rPr>
        <w:fldChar w:fldCharType="end"/>
      </w:r>
      <w:r>
        <w:rPr>
          <w:b/>
          <w:bCs/>
        </w:rPr>
        <w:fldChar w:fldCharType="end"/>
      </w:r>
    </w:p>
    <w:p>
      <w:pPr>
        <w:pStyle w:val="13"/>
        <w:tabs>
          <w:tab w:val="right" w:leader="dot" w:pos="8306"/>
        </w:tabs>
        <w:ind w:left="440"/>
      </w:pPr>
      <w:r>
        <w:fldChar w:fldCharType="begin"/>
      </w:r>
      <w:r>
        <w:instrText xml:space="preserve"> HYPERLINK \l "_Toc2885" </w:instrText>
      </w:r>
      <w:r>
        <w:fldChar w:fldCharType="separate"/>
      </w:r>
      <w:r>
        <w:rPr>
          <w:rFonts w:hint="eastAsia" w:ascii="仿宋" w:hAnsi="仿宋" w:eastAsia="仿宋" w:cs="仿宋"/>
          <w:szCs w:val="21"/>
        </w:rPr>
        <w:t>（一）基础</w:t>
      </w:r>
      <w:r>
        <w:rPr>
          <w:rFonts w:ascii="仿宋" w:hAnsi="仿宋" w:eastAsia="仿宋" w:cs="仿宋"/>
          <w:szCs w:val="21"/>
        </w:rPr>
        <w:t>设施</w:t>
      </w:r>
      <w:r>
        <w:rPr>
          <w:rFonts w:hint="eastAsia" w:ascii="仿宋" w:hAnsi="仿宋" w:eastAsia="仿宋" w:cs="仿宋"/>
          <w:szCs w:val="21"/>
        </w:rPr>
        <w:t>高效先进建设</w:t>
      </w:r>
      <w:r>
        <w:tab/>
      </w:r>
      <w:r>
        <w:fldChar w:fldCharType="begin"/>
      </w:r>
      <w:r>
        <w:instrText xml:space="preserve"> PAGEREF _Toc2885 \h </w:instrText>
      </w:r>
      <w:r>
        <w:fldChar w:fldCharType="separate"/>
      </w:r>
      <w:r>
        <w:t>10</w:t>
      </w:r>
      <w:r>
        <w:fldChar w:fldCharType="end"/>
      </w:r>
      <w:r>
        <w:fldChar w:fldCharType="end"/>
      </w:r>
    </w:p>
    <w:p>
      <w:pPr>
        <w:pStyle w:val="13"/>
        <w:tabs>
          <w:tab w:val="right" w:leader="dot" w:pos="8306"/>
        </w:tabs>
        <w:ind w:left="440"/>
      </w:pPr>
      <w:r>
        <w:fldChar w:fldCharType="begin"/>
      </w:r>
      <w:r>
        <w:instrText xml:space="preserve"> HYPERLINK \l "_Toc25428" </w:instrText>
      </w:r>
      <w:r>
        <w:fldChar w:fldCharType="separate"/>
      </w:r>
      <w:r>
        <w:rPr>
          <w:rFonts w:hint="eastAsia" w:ascii="仿宋" w:hAnsi="仿宋" w:eastAsia="仿宋" w:cs="仿宋"/>
          <w:szCs w:val="21"/>
        </w:rPr>
        <w:t>（二）学前教育优质普惠发展</w:t>
      </w:r>
      <w:r>
        <w:tab/>
      </w:r>
      <w:r>
        <w:fldChar w:fldCharType="begin"/>
      </w:r>
      <w:r>
        <w:instrText xml:space="preserve"> PAGEREF _Toc25428 \h </w:instrText>
      </w:r>
      <w:r>
        <w:fldChar w:fldCharType="separate"/>
      </w:r>
      <w:r>
        <w:t>11</w:t>
      </w:r>
      <w:r>
        <w:fldChar w:fldCharType="end"/>
      </w:r>
      <w:r>
        <w:fldChar w:fldCharType="end"/>
      </w:r>
    </w:p>
    <w:p>
      <w:pPr>
        <w:pStyle w:val="13"/>
        <w:tabs>
          <w:tab w:val="right" w:leader="dot" w:pos="8306"/>
        </w:tabs>
        <w:ind w:left="440"/>
      </w:pPr>
      <w:r>
        <w:fldChar w:fldCharType="begin"/>
      </w:r>
      <w:r>
        <w:instrText xml:space="preserve"> HYPERLINK \l "_Toc28002" </w:instrText>
      </w:r>
      <w:r>
        <w:fldChar w:fldCharType="separate"/>
      </w:r>
      <w:r>
        <w:rPr>
          <w:rFonts w:hint="eastAsia" w:ascii="仿宋" w:hAnsi="仿宋" w:eastAsia="仿宋" w:cs="仿宋"/>
          <w:szCs w:val="21"/>
        </w:rPr>
        <w:t>（三）义务教育优质均衡发展</w:t>
      </w:r>
      <w:r>
        <w:tab/>
      </w:r>
      <w:r>
        <w:fldChar w:fldCharType="begin"/>
      </w:r>
      <w:r>
        <w:instrText xml:space="preserve"> PAGEREF _Toc28002 \h </w:instrText>
      </w:r>
      <w:r>
        <w:fldChar w:fldCharType="separate"/>
      </w:r>
      <w:r>
        <w:t>12</w:t>
      </w:r>
      <w:r>
        <w:fldChar w:fldCharType="end"/>
      </w:r>
      <w:r>
        <w:fldChar w:fldCharType="end"/>
      </w:r>
    </w:p>
    <w:p>
      <w:pPr>
        <w:pStyle w:val="13"/>
        <w:tabs>
          <w:tab w:val="right" w:leader="dot" w:pos="8306"/>
        </w:tabs>
        <w:ind w:left="440"/>
      </w:pPr>
      <w:r>
        <w:fldChar w:fldCharType="begin"/>
      </w:r>
      <w:r>
        <w:instrText xml:space="preserve"> HYPERLINK \l "_Toc25532" </w:instrText>
      </w:r>
      <w:r>
        <w:fldChar w:fldCharType="separate"/>
      </w:r>
      <w:r>
        <w:rPr>
          <w:rFonts w:hint="eastAsia" w:ascii="仿宋" w:hAnsi="仿宋" w:eastAsia="仿宋" w:cs="仿宋"/>
          <w:szCs w:val="21"/>
        </w:rPr>
        <w:t>（四）终身教育共享开放发展</w:t>
      </w:r>
      <w:r>
        <w:tab/>
      </w:r>
      <w:r>
        <w:fldChar w:fldCharType="begin"/>
      </w:r>
      <w:r>
        <w:instrText xml:space="preserve"> PAGEREF _Toc25532 \h </w:instrText>
      </w:r>
      <w:r>
        <w:fldChar w:fldCharType="separate"/>
      </w:r>
      <w:r>
        <w:t>14</w:t>
      </w:r>
      <w:r>
        <w:fldChar w:fldCharType="end"/>
      </w:r>
      <w:r>
        <w:fldChar w:fldCharType="end"/>
      </w:r>
    </w:p>
    <w:p>
      <w:pPr>
        <w:pStyle w:val="13"/>
        <w:tabs>
          <w:tab w:val="right" w:leader="dot" w:pos="8306"/>
        </w:tabs>
        <w:ind w:left="440"/>
      </w:pPr>
      <w:r>
        <w:fldChar w:fldCharType="begin"/>
      </w:r>
      <w:r>
        <w:instrText xml:space="preserve"> HYPERLINK \l "_Toc8591" </w:instrText>
      </w:r>
      <w:r>
        <w:fldChar w:fldCharType="separate"/>
      </w:r>
      <w:r>
        <w:rPr>
          <w:rFonts w:hint="eastAsia" w:ascii="仿宋" w:hAnsi="仿宋" w:eastAsia="仿宋" w:cs="仿宋"/>
          <w:szCs w:val="21"/>
        </w:rPr>
        <w:t>（五）特殊教育融合全纳发展</w:t>
      </w:r>
      <w:r>
        <w:tab/>
      </w:r>
      <w:r>
        <w:fldChar w:fldCharType="begin"/>
      </w:r>
      <w:r>
        <w:instrText xml:space="preserve"> PAGEREF _Toc8591 \h </w:instrText>
      </w:r>
      <w:r>
        <w:fldChar w:fldCharType="separate"/>
      </w:r>
      <w:r>
        <w:t>16</w:t>
      </w:r>
      <w:r>
        <w:fldChar w:fldCharType="end"/>
      </w:r>
      <w:r>
        <w:fldChar w:fldCharType="end"/>
      </w:r>
    </w:p>
    <w:p>
      <w:pPr>
        <w:pStyle w:val="12"/>
        <w:tabs>
          <w:tab w:val="right" w:leader="dot" w:pos="8306"/>
        </w:tabs>
        <w:rPr>
          <w:b/>
          <w:bCs/>
        </w:rPr>
      </w:pPr>
      <w:r>
        <w:fldChar w:fldCharType="begin"/>
      </w:r>
      <w:r>
        <w:instrText xml:space="preserve"> HYPERLINK \l "_Toc10785" </w:instrText>
      </w:r>
      <w:r>
        <w:fldChar w:fldCharType="separate"/>
      </w:r>
      <w:r>
        <w:rPr>
          <w:rFonts w:hint="eastAsia" w:ascii="仿宋" w:hAnsi="仿宋" w:eastAsia="仿宋" w:cs="仿宋"/>
          <w:b/>
          <w:bCs/>
          <w:szCs w:val="20"/>
        </w:rPr>
        <w:t>四、发展举措</w:t>
      </w:r>
      <w:r>
        <w:rPr>
          <w:b/>
          <w:bCs/>
        </w:rPr>
        <w:tab/>
      </w:r>
      <w:r>
        <w:rPr>
          <w:b/>
          <w:bCs/>
        </w:rPr>
        <w:fldChar w:fldCharType="begin"/>
      </w:r>
      <w:r>
        <w:rPr>
          <w:b/>
          <w:bCs/>
        </w:rPr>
        <w:instrText xml:space="preserve"> PAGEREF _Toc10785 \h </w:instrText>
      </w:r>
      <w:r>
        <w:rPr>
          <w:b/>
          <w:bCs/>
        </w:rPr>
        <w:fldChar w:fldCharType="separate"/>
      </w:r>
      <w:r>
        <w:rPr>
          <w:b/>
          <w:bCs/>
        </w:rPr>
        <w:t>16</w:t>
      </w:r>
      <w:r>
        <w:rPr>
          <w:b/>
          <w:bCs/>
        </w:rPr>
        <w:fldChar w:fldCharType="end"/>
      </w:r>
      <w:r>
        <w:rPr>
          <w:b/>
          <w:bCs/>
        </w:rPr>
        <w:fldChar w:fldCharType="end"/>
      </w:r>
    </w:p>
    <w:p>
      <w:pPr>
        <w:pStyle w:val="13"/>
        <w:tabs>
          <w:tab w:val="right" w:leader="dot" w:pos="8306"/>
        </w:tabs>
        <w:ind w:left="440"/>
      </w:pPr>
      <w:r>
        <w:fldChar w:fldCharType="begin"/>
      </w:r>
      <w:r>
        <w:instrText xml:space="preserve"> HYPERLINK \l "_Toc7224" </w:instrText>
      </w:r>
      <w:r>
        <w:fldChar w:fldCharType="separate"/>
      </w:r>
      <w:r>
        <w:rPr>
          <w:rFonts w:hint="eastAsia" w:ascii="仿宋" w:hAnsi="仿宋" w:eastAsia="仿宋" w:cs="仿宋"/>
          <w:szCs w:val="21"/>
        </w:rPr>
        <w:t>（一）五育并举，构筑全面育人新高地</w:t>
      </w:r>
      <w:r>
        <w:tab/>
      </w:r>
      <w:r>
        <w:fldChar w:fldCharType="begin"/>
      </w:r>
      <w:r>
        <w:instrText xml:space="preserve"> PAGEREF _Toc7224 \h </w:instrText>
      </w:r>
      <w:r>
        <w:fldChar w:fldCharType="separate"/>
      </w:r>
      <w:r>
        <w:t>16</w:t>
      </w:r>
      <w:r>
        <w:fldChar w:fldCharType="end"/>
      </w:r>
      <w:r>
        <w:fldChar w:fldCharType="end"/>
      </w:r>
    </w:p>
    <w:p>
      <w:pPr>
        <w:pStyle w:val="13"/>
        <w:tabs>
          <w:tab w:val="right" w:leader="dot" w:pos="8306"/>
        </w:tabs>
        <w:ind w:left="440"/>
      </w:pPr>
      <w:r>
        <w:fldChar w:fldCharType="begin"/>
      </w:r>
      <w:r>
        <w:instrText xml:space="preserve"> HYPERLINK \l "_Toc27838" </w:instrText>
      </w:r>
      <w:r>
        <w:fldChar w:fldCharType="separate"/>
      </w:r>
      <w:r>
        <w:rPr>
          <w:rFonts w:hint="eastAsia" w:ascii="仿宋" w:hAnsi="仿宋" w:eastAsia="仿宋" w:cs="仿宋"/>
          <w:szCs w:val="21"/>
        </w:rPr>
        <w:t>（二）引培优育，打造高水平师资队伍</w:t>
      </w:r>
      <w:r>
        <w:tab/>
      </w:r>
      <w:r>
        <w:fldChar w:fldCharType="begin"/>
      </w:r>
      <w:r>
        <w:instrText xml:space="preserve"> PAGEREF _Toc27838 \h </w:instrText>
      </w:r>
      <w:r>
        <w:fldChar w:fldCharType="separate"/>
      </w:r>
      <w:r>
        <w:t>19</w:t>
      </w:r>
      <w:r>
        <w:fldChar w:fldCharType="end"/>
      </w:r>
      <w:r>
        <w:fldChar w:fldCharType="end"/>
      </w:r>
    </w:p>
    <w:p>
      <w:pPr>
        <w:pStyle w:val="13"/>
        <w:tabs>
          <w:tab w:val="right" w:leader="dot" w:pos="8306"/>
        </w:tabs>
        <w:ind w:left="440"/>
      </w:pPr>
      <w:r>
        <w:fldChar w:fldCharType="begin"/>
      </w:r>
      <w:r>
        <w:instrText xml:space="preserve"> HYPERLINK \l "_Toc26687" </w:instrText>
      </w:r>
      <w:r>
        <w:fldChar w:fldCharType="separate"/>
      </w:r>
      <w:r>
        <w:rPr>
          <w:rFonts w:hint="eastAsia" w:ascii="仿宋" w:hAnsi="仿宋" w:eastAsia="仿宋" w:cs="仿宋"/>
          <w:szCs w:val="21"/>
        </w:rPr>
        <w:t>（三）智慧融合，构筑未来教育新格局</w:t>
      </w:r>
      <w:r>
        <w:tab/>
      </w:r>
      <w:r>
        <w:fldChar w:fldCharType="begin"/>
      </w:r>
      <w:r>
        <w:instrText xml:space="preserve"> PAGEREF _Toc26687 \h </w:instrText>
      </w:r>
      <w:r>
        <w:fldChar w:fldCharType="separate"/>
      </w:r>
      <w:r>
        <w:t>21</w:t>
      </w:r>
      <w:r>
        <w:fldChar w:fldCharType="end"/>
      </w:r>
      <w:r>
        <w:fldChar w:fldCharType="end"/>
      </w:r>
    </w:p>
    <w:p>
      <w:pPr>
        <w:pStyle w:val="13"/>
        <w:tabs>
          <w:tab w:val="right" w:leader="dot" w:pos="8306"/>
        </w:tabs>
        <w:ind w:left="440"/>
      </w:pPr>
      <w:r>
        <w:fldChar w:fldCharType="begin"/>
      </w:r>
      <w:r>
        <w:instrText xml:space="preserve"> HYPERLINK \l "_Toc18994" </w:instrText>
      </w:r>
      <w:r>
        <w:fldChar w:fldCharType="separate"/>
      </w:r>
      <w:r>
        <w:rPr>
          <w:rFonts w:hint="eastAsia" w:ascii="仿宋" w:hAnsi="仿宋" w:eastAsia="仿宋" w:cs="仿宋"/>
          <w:szCs w:val="21"/>
        </w:rPr>
        <w:t>（四）协同发展，推进教育治理现代化</w:t>
      </w:r>
      <w:r>
        <w:tab/>
      </w:r>
      <w:r>
        <w:fldChar w:fldCharType="begin"/>
      </w:r>
      <w:r>
        <w:instrText xml:space="preserve"> PAGEREF _Toc18994 \h </w:instrText>
      </w:r>
      <w:r>
        <w:fldChar w:fldCharType="separate"/>
      </w:r>
      <w:r>
        <w:t>23</w:t>
      </w:r>
      <w:r>
        <w:fldChar w:fldCharType="end"/>
      </w:r>
      <w:r>
        <w:fldChar w:fldCharType="end"/>
      </w:r>
    </w:p>
    <w:p>
      <w:pPr>
        <w:pStyle w:val="13"/>
        <w:tabs>
          <w:tab w:val="right" w:leader="dot" w:pos="8306"/>
        </w:tabs>
        <w:ind w:left="440"/>
      </w:pPr>
      <w:r>
        <w:fldChar w:fldCharType="begin"/>
      </w:r>
      <w:r>
        <w:instrText xml:space="preserve"> HYPERLINK \l "_Toc5095" </w:instrText>
      </w:r>
      <w:r>
        <w:fldChar w:fldCharType="separate"/>
      </w:r>
      <w:r>
        <w:rPr>
          <w:rFonts w:hint="eastAsia" w:ascii="仿宋" w:hAnsi="仿宋" w:eastAsia="仿宋" w:cs="仿宋"/>
          <w:szCs w:val="21"/>
        </w:rPr>
        <w:t>（五）开放共享，持续提升办学影响力</w:t>
      </w:r>
      <w:r>
        <w:tab/>
      </w:r>
      <w:r>
        <w:fldChar w:fldCharType="begin"/>
      </w:r>
      <w:r>
        <w:instrText xml:space="preserve"> PAGEREF _Toc5095 \h </w:instrText>
      </w:r>
      <w:r>
        <w:fldChar w:fldCharType="separate"/>
      </w:r>
      <w:r>
        <w:t>25</w:t>
      </w:r>
      <w:r>
        <w:fldChar w:fldCharType="end"/>
      </w:r>
      <w:r>
        <w:fldChar w:fldCharType="end"/>
      </w:r>
    </w:p>
    <w:p>
      <w:pPr>
        <w:pStyle w:val="12"/>
        <w:tabs>
          <w:tab w:val="right" w:leader="dot" w:pos="8306"/>
        </w:tabs>
        <w:rPr>
          <w:b/>
          <w:bCs/>
        </w:rPr>
      </w:pPr>
      <w:r>
        <w:fldChar w:fldCharType="begin"/>
      </w:r>
      <w:r>
        <w:instrText xml:space="preserve"> HYPERLINK \l "_Toc24914" </w:instrText>
      </w:r>
      <w:r>
        <w:fldChar w:fldCharType="separate"/>
      </w:r>
      <w:r>
        <w:rPr>
          <w:rFonts w:hint="eastAsia" w:ascii="仿宋" w:hAnsi="仿宋" w:eastAsia="仿宋" w:cs="仿宋"/>
          <w:b/>
          <w:bCs/>
          <w:szCs w:val="20"/>
        </w:rPr>
        <w:t>五、保障机制</w:t>
      </w:r>
      <w:r>
        <w:rPr>
          <w:b/>
          <w:bCs/>
        </w:rPr>
        <w:tab/>
      </w:r>
      <w:r>
        <w:rPr>
          <w:b/>
          <w:bCs/>
        </w:rPr>
        <w:fldChar w:fldCharType="begin"/>
      </w:r>
      <w:r>
        <w:rPr>
          <w:b/>
          <w:bCs/>
        </w:rPr>
        <w:instrText xml:space="preserve"> PAGEREF _Toc24914 \h </w:instrText>
      </w:r>
      <w:r>
        <w:rPr>
          <w:b/>
          <w:bCs/>
        </w:rPr>
        <w:fldChar w:fldCharType="separate"/>
      </w:r>
      <w:r>
        <w:rPr>
          <w:b/>
          <w:bCs/>
        </w:rPr>
        <w:t>26</w:t>
      </w:r>
      <w:r>
        <w:rPr>
          <w:b/>
          <w:bCs/>
        </w:rPr>
        <w:fldChar w:fldCharType="end"/>
      </w:r>
      <w:r>
        <w:rPr>
          <w:b/>
          <w:bCs/>
        </w:rPr>
        <w:fldChar w:fldCharType="end"/>
      </w:r>
    </w:p>
    <w:p>
      <w:pPr>
        <w:pStyle w:val="13"/>
        <w:tabs>
          <w:tab w:val="right" w:leader="dot" w:pos="8306"/>
        </w:tabs>
        <w:ind w:left="440"/>
      </w:pPr>
      <w:r>
        <w:fldChar w:fldCharType="begin"/>
      </w:r>
      <w:r>
        <w:instrText xml:space="preserve"> HYPERLINK \l "_Toc19937" </w:instrText>
      </w:r>
      <w:r>
        <w:fldChar w:fldCharType="separate"/>
      </w:r>
      <w:r>
        <w:rPr>
          <w:rFonts w:hint="eastAsia" w:ascii="仿宋" w:hAnsi="仿宋" w:eastAsia="仿宋" w:cs="仿宋"/>
          <w:bCs/>
          <w:szCs w:val="28"/>
        </w:rPr>
        <w:t>（一）加强党的领导</w:t>
      </w:r>
      <w:r>
        <w:tab/>
      </w:r>
      <w:r>
        <w:fldChar w:fldCharType="begin"/>
      </w:r>
      <w:r>
        <w:instrText xml:space="preserve"> PAGEREF _Toc19937 \h </w:instrText>
      </w:r>
      <w:r>
        <w:fldChar w:fldCharType="separate"/>
      </w:r>
      <w:r>
        <w:t>26</w:t>
      </w:r>
      <w:r>
        <w:fldChar w:fldCharType="end"/>
      </w:r>
      <w:r>
        <w:fldChar w:fldCharType="end"/>
      </w:r>
    </w:p>
    <w:p>
      <w:pPr>
        <w:pStyle w:val="13"/>
        <w:tabs>
          <w:tab w:val="right" w:leader="dot" w:pos="8306"/>
        </w:tabs>
        <w:ind w:left="440"/>
      </w:pPr>
      <w:r>
        <w:fldChar w:fldCharType="begin"/>
      </w:r>
      <w:r>
        <w:instrText xml:space="preserve"> HYPERLINK \l "_Toc19569" </w:instrText>
      </w:r>
      <w:r>
        <w:fldChar w:fldCharType="separate"/>
      </w:r>
      <w:r>
        <w:rPr>
          <w:rFonts w:hint="eastAsia" w:ascii="仿宋" w:hAnsi="仿宋" w:eastAsia="仿宋" w:cs="仿宋"/>
          <w:bCs/>
          <w:szCs w:val="28"/>
        </w:rPr>
        <w:t>（二）健全投入机制</w:t>
      </w:r>
      <w:r>
        <w:tab/>
      </w:r>
      <w:r>
        <w:fldChar w:fldCharType="begin"/>
      </w:r>
      <w:r>
        <w:instrText xml:space="preserve"> PAGEREF _Toc19569 \h </w:instrText>
      </w:r>
      <w:r>
        <w:fldChar w:fldCharType="separate"/>
      </w:r>
      <w:r>
        <w:t>27</w:t>
      </w:r>
      <w:r>
        <w:fldChar w:fldCharType="end"/>
      </w:r>
      <w:r>
        <w:fldChar w:fldCharType="end"/>
      </w:r>
    </w:p>
    <w:p>
      <w:pPr>
        <w:pStyle w:val="13"/>
        <w:tabs>
          <w:tab w:val="right" w:leader="dot" w:pos="8306"/>
        </w:tabs>
        <w:ind w:left="440"/>
      </w:pPr>
      <w:r>
        <w:fldChar w:fldCharType="begin"/>
      </w:r>
      <w:r>
        <w:instrText xml:space="preserve"> HYPERLINK \l "_Toc31737" </w:instrText>
      </w:r>
      <w:r>
        <w:fldChar w:fldCharType="separate"/>
      </w:r>
      <w:r>
        <w:rPr>
          <w:rFonts w:hint="eastAsia" w:ascii="仿宋" w:hAnsi="仿宋" w:eastAsia="仿宋" w:cs="仿宋"/>
          <w:bCs/>
          <w:szCs w:val="28"/>
        </w:rPr>
        <w:t>（三）强化督导问效</w:t>
      </w:r>
      <w:r>
        <w:tab/>
      </w:r>
      <w:r>
        <w:fldChar w:fldCharType="begin"/>
      </w:r>
      <w:r>
        <w:instrText xml:space="preserve"> PAGEREF _Toc31737 \h </w:instrText>
      </w:r>
      <w:r>
        <w:fldChar w:fldCharType="separate"/>
      </w:r>
      <w:r>
        <w:t>27</w:t>
      </w:r>
      <w:r>
        <w:fldChar w:fldCharType="end"/>
      </w:r>
      <w:r>
        <w:fldChar w:fldCharType="end"/>
      </w:r>
    </w:p>
    <w:p>
      <w:pPr>
        <w:pStyle w:val="13"/>
        <w:tabs>
          <w:tab w:val="right" w:leader="dot" w:pos="8306"/>
        </w:tabs>
        <w:ind w:left="440"/>
      </w:pPr>
      <w:r>
        <w:fldChar w:fldCharType="begin"/>
      </w:r>
      <w:r>
        <w:instrText xml:space="preserve"> HYPERLINK \l "_Toc17383" </w:instrText>
      </w:r>
      <w:r>
        <w:fldChar w:fldCharType="separate"/>
      </w:r>
      <w:r>
        <w:rPr>
          <w:rFonts w:hint="eastAsia" w:ascii="仿宋" w:hAnsi="仿宋" w:eastAsia="仿宋" w:cs="仿宋"/>
          <w:bCs/>
          <w:szCs w:val="28"/>
        </w:rPr>
        <w:t>（四）营造良好氛围</w:t>
      </w:r>
      <w:r>
        <w:tab/>
      </w:r>
      <w:r>
        <w:fldChar w:fldCharType="begin"/>
      </w:r>
      <w:r>
        <w:instrText xml:space="preserve"> PAGEREF _Toc17383 \h </w:instrText>
      </w:r>
      <w:r>
        <w:fldChar w:fldCharType="separate"/>
      </w:r>
      <w:r>
        <w:t>28</w:t>
      </w:r>
      <w:r>
        <w:fldChar w:fldCharType="end"/>
      </w:r>
      <w:r>
        <w:fldChar w:fldCharType="end"/>
      </w:r>
    </w:p>
    <w:p>
      <w:pPr>
        <w:pStyle w:val="12"/>
        <w:tabs>
          <w:tab w:val="right" w:leader="dot" w:pos="8306"/>
        </w:tabs>
      </w:pPr>
      <w:r>
        <w:fldChar w:fldCharType="begin"/>
      </w:r>
      <w:r>
        <w:instrText xml:space="preserve"> HYPERLINK \l "_Toc8184" </w:instrText>
      </w:r>
      <w:r>
        <w:fldChar w:fldCharType="separate"/>
      </w:r>
      <w:r>
        <w:rPr>
          <w:rFonts w:hint="eastAsia" w:ascii="仿宋" w:hAnsi="仿宋" w:eastAsia="仿宋" w:cs="仿宋"/>
          <w:szCs w:val="20"/>
        </w:rPr>
        <w:t>附件1鹿城区教育局教育事业发展“十四五”规划项目概况</w:t>
      </w:r>
      <w:r>
        <w:tab/>
      </w:r>
      <w:r>
        <w:fldChar w:fldCharType="begin"/>
      </w:r>
      <w:r>
        <w:instrText xml:space="preserve"> PAGEREF _Toc8184 \h </w:instrText>
      </w:r>
      <w:r>
        <w:fldChar w:fldCharType="separate"/>
      </w:r>
      <w:r>
        <w:t>29</w:t>
      </w:r>
      <w:r>
        <w:fldChar w:fldCharType="end"/>
      </w:r>
      <w:r>
        <w:fldChar w:fldCharType="end"/>
      </w:r>
    </w:p>
    <w:p>
      <w:pPr>
        <w:pStyle w:val="12"/>
        <w:tabs>
          <w:tab w:val="right" w:leader="dot" w:pos="8306"/>
        </w:tabs>
      </w:pPr>
      <w:r>
        <w:fldChar w:fldCharType="begin"/>
      </w:r>
      <w:r>
        <w:instrText xml:space="preserve"> HYPERLINK \l "_Toc2534" </w:instrText>
      </w:r>
      <w:r>
        <w:fldChar w:fldCharType="separate"/>
      </w:r>
      <w:r>
        <w:rPr>
          <w:rFonts w:hint="eastAsia" w:ascii="仿宋" w:hAnsi="仿宋" w:eastAsia="仿宋" w:cs="仿宋"/>
          <w:bCs/>
          <w:szCs w:val="20"/>
        </w:rPr>
        <w:t>附件2鹿城区教育局教育事业发展“十四五”规划项目库</w:t>
      </w:r>
      <w:r>
        <w:tab/>
      </w:r>
      <w:r>
        <w:fldChar w:fldCharType="begin"/>
      </w:r>
      <w:r>
        <w:instrText xml:space="preserve"> PAGEREF _Toc2534 \h </w:instrText>
      </w:r>
      <w:r>
        <w:fldChar w:fldCharType="separate"/>
      </w:r>
      <w:r>
        <w:t>30</w:t>
      </w:r>
      <w:r>
        <w:fldChar w:fldCharType="end"/>
      </w:r>
      <w:r>
        <w:fldChar w:fldCharType="end"/>
      </w:r>
    </w:p>
    <w:p>
      <w:pPr>
        <w:pStyle w:val="13"/>
        <w:tabs>
          <w:tab w:val="right" w:leader="dot" w:pos="8296"/>
        </w:tabs>
        <w:ind w:left="440"/>
        <w:rPr>
          <w:rFonts w:ascii="仿宋" w:hAnsi="仿宋" w:eastAsia="仿宋" w:cs="仿宋"/>
          <w:bCs/>
          <w:szCs w:val="28"/>
        </w:rPr>
        <w:sectPr>
          <w:pgSz w:w="11906" w:h="16838"/>
          <w:pgMar w:top="1440" w:right="1800" w:bottom="1440" w:left="1800" w:header="851" w:footer="992" w:gutter="0"/>
          <w:pgNumType w:fmt="upperRoman"/>
          <w:cols w:space="425" w:num="1"/>
          <w:titlePg/>
          <w:docGrid w:type="lines" w:linePitch="312" w:charSpace="0"/>
        </w:sectPr>
      </w:pPr>
      <w:r>
        <w:rPr>
          <w:rFonts w:hint="eastAsia" w:ascii="仿宋" w:hAnsi="仿宋" w:eastAsia="仿宋" w:cs="仿宋"/>
          <w:bCs/>
          <w:szCs w:val="28"/>
        </w:rPr>
        <w:fldChar w:fldCharType="end"/>
      </w:r>
      <w:bookmarkStart w:id="0" w:name="_Toc20047"/>
    </w:p>
    <w:p>
      <w:pPr>
        <w:pStyle w:val="13"/>
        <w:tabs>
          <w:tab w:val="right" w:leader="dot" w:pos="8296"/>
        </w:tabs>
        <w:ind w:left="0" w:leftChars="0" w:firstLine="723" w:firstLineChars="200"/>
        <w:outlineLvl w:val="0"/>
        <w:rPr>
          <w:rFonts w:ascii="仿宋" w:hAnsi="仿宋" w:eastAsia="仿宋" w:cs="仿宋"/>
          <w:b/>
          <w:bCs/>
          <w:sz w:val="36"/>
          <w:szCs w:val="20"/>
        </w:rPr>
        <w:pPrChange w:id="0" w:author="文心雕龙" w:date="2021-09-03T15:46:00Z">
          <w:pPr>
            <w:pStyle w:val="13"/>
            <w:tabs>
              <w:tab w:val="right" w:leader="dot" w:pos="8296"/>
            </w:tabs>
            <w:ind w:left="0" w:leftChars="0"/>
            <w:outlineLvl w:val="0"/>
          </w:pPr>
        </w:pPrChange>
      </w:pPr>
      <w:bookmarkStart w:id="1" w:name="_Toc3505"/>
      <w:r>
        <w:rPr>
          <w:rFonts w:hint="eastAsia" w:ascii="仿宋" w:hAnsi="仿宋" w:eastAsia="仿宋" w:cs="仿宋"/>
          <w:b/>
          <w:bCs/>
          <w:sz w:val="36"/>
          <w:szCs w:val="20"/>
        </w:rPr>
        <w:t>一、发展基础</w:t>
      </w:r>
      <w:bookmarkEnd w:id="0"/>
      <w:bookmarkEnd w:id="1"/>
    </w:p>
    <w:p>
      <w:pPr>
        <w:pStyle w:val="5"/>
        <w:widowControl w:val="0"/>
        <w:spacing w:before="120" w:after="60" w:line="360" w:lineRule="auto"/>
        <w:ind w:firstLine="562" w:firstLineChars="200"/>
        <w:rPr>
          <w:rFonts w:ascii="仿宋" w:hAnsi="仿宋" w:eastAsia="仿宋" w:cs="仿宋"/>
          <w:sz w:val="28"/>
          <w:szCs w:val="21"/>
        </w:rPr>
      </w:pPr>
      <w:bookmarkStart w:id="2" w:name="_Toc32516"/>
      <w:bookmarkStart w:id="3" w:name="_Toc11533"/>
      <w:bookmarkStart w:id="4" w:name="_Toc8023"/>
      <w:bookmarkStart w:id="5" w:name="_Toc7732"/>
      <w:bookmarkStart w:id="6" w:name="_Toc30426"/>
      <w:r>
        <w:rPr>
          <w:rFonts w:hint="eastAsia" w:ascii="仿宋" w:hAnsi="仿宋" w:eastAsia="仿宋" w:cs="仿宋"/>
          <w:sz w:val="28"/>
          <w:szCs w:val="21"/>
        </w:rPr>
        <w:t>（一）“十三五”教育事业发展</w:t>
      </w:r>
      <w:bookmarkEnd w:id="2"/>
      <w:bookmarkEnd w:id="3"/>
      <w:bookmarkEnd w:id="4"/>
      <w:bookmarkEnd w:id="5"/>
      <w:r>
        <w:rPr>
          <w:rFonts w:hint="eastAsia" w:ascii="仿宋" w:hAnsi="仿宋" w:eastAsia="仿宋" w:cs="仿宋"/>
          <w:sz w:val="28"/>
          <w:szCs w:val="21"/>
        </w:rPr>
        <w:t>回顾</w:t>
      </w:r>
      <w:bookmarkEnd w:id="6"/>
    </w:p>
    <w:p>
      <w:pPr>
        <w:widowControl w:val="0"/>
        <w:spacing w:after="60" w:line="360" w:lineRule="auto"/>
        <w:ind w:firstLine="560" w:firstLineChars="200"/>
        <w:jc w:val="both"/>
        <w:rPr>
          <w:rFonts w:ascii="仿宋" w:hAnsi="仿宋" w:eastAsia="仿宋" w:cs="仿宋"/>
          <w:kern w:val="2"/>
          <w:sz w:val="28"/>
          <w:szCs w:val="28"/>
        </w:rPr>
      </w:pPr>
      <w:r>
        <w:rPr>
          <w:rFonts w:hint="eastAsia" w:ascii="仿宋" w:hAnsi="仿宋" w:eastAsia="仿宋" w:cs="仿宋"/>
          <w:kern w:val="2"/>
          <w:sz w:val="28"/>
          <w:szCs w:val="28"/>
        </w:rPr>
        <w:t>“十三五”期间，鹿城区始终以“让每一个孩子享有公平而优质的教育”为宗旨，以教育优质均衡发展为目标，以教育现代化和义务教育办学体制改革为主线，深入实施“首位教育，学在鹿城”战略，不断深化教育教学改革创新，着力强化优质教育资源供给，持续扩大优质教育资源覆盖面，全面推动教育资源配置均衡化。教育事业稳步发展，15项重要指标进入全市领先行列。</w:t>
      </w:r>
      <w:bookmarkStart w:id="7" w:name="_Toc17111"/>
    </w:p>
    <w:p>
      <w:pPr>
        <w:spacing w:after="0" w:line="360" w:lineRule="auto"/>
        <w:ind w:firstLine="562" w:firstLineChars="200"/>
        <w:jc w:val="both"/>
        <w:rPr>
          <w:rFonts w:ascii="仿宋" w:hAnsi="仿宋" w:eastAsia="仿宋" w:cs="仿宋"/>
          <w:bCs/>
          <w:sz w:val="28"/>
          <w:szCs w:val="28"/>
        </w:rPr>
      </w:pPr>
      <w:r>
        <w:rPr>
          <w:rFonts w:hint="eastAsia" w:ascii="仿宋" w:hAnsi="仿宋" w:eastAsia="仿宋" w:cs="仿宋"/>
          <w:b/>
          <w:sz w:val="28"/>
          <w:szCs w:val="21"/>
        </w:rPr>
        <w:t>——教育总体水平攀登新高度</w:t>
      </w:r>
      <w:bookmarkEnd w:id="7"/>
      <w:r>
        <w:rPr>
          <w:rFonts w:hint="eastAsia" w:ascii="仿宋" w:hAnsi="仿宋" w:eastAsia="仿宋" w:cs="仿宋"/>
          <w:b/>
          <w:sz w:val="28"/>
          <w:szCs w:val="21"/>
        </w:rPr>
        <w:t>。</w:t>
      </w:r>
      <w:r>
        <w:rPr>
          <w:rFonts w:hint="eastAsia" w:ascii="仿宋" w:hAnsi="仿宋" w:eastAsia="仿宋" w:cs="仿宋"/>
          <w:bCs/>
          <w:kern w:val="2"/>
          <w:sz w:val="28"/>
          <w:szCs w:val="28"/>
        </w:rPr>
        <w:t>“十三五”期间，全区一般公共预算收入累计达60.63亿元，年均增幅达17.37%</w:t>
      </w:r>
      <w:r>
        <w:rPr>
          <w:rFonts w:hint="eastAsia" w:ascii="仿宋" w:hAnsi="仿宋" w:eastAsia="仿宋" w:cs="仿宋"/>
          <w:bCs/>
          <w:sz w:val="28"/>
          <w:szCs w:val="28"/>
        </w:rPr>
        <w:t>。区域办学条件和育人环境大幅改善，2016-2020累计建成投用中小学（含学前）33所，新增班级438个，新增学位数1.7万个。中小学（含学前）占地、建筑面积分别增加21.80、26.96万平方米。中小学生均占地和建筑面积均</w:t>
      </w:r>
      <w:r>
        <w:rPr>
          <w:rFonts w:hint="eastAsia" w:ascii="仿宋" w:hAnsi="仿宋" w:eastAsia="仿宋" w:cs="仿宋"/>
          <w:bCs/>
          <w:kern w:val="2"/>
          <w:sz w:val="28"/>
          <w:szCs w:val="28"/>
        </w:rPr>
        <w:t>高于全市整体水平，增幅居全省前列。</w:t>
      </w:r>
      <w:r>
        <w:rPr>
          <w:rFonts w:hint="eastAsia" w:ascii="仿宋" w:hAnsi="仿宋" w:eastAsia="仿宋" w:cs="仿宋"/>
          <w:bCs/>
          <w:sz w:val="28"/>
          <w:szCs w:val="28"/>
        </w:rPr>
        <w:t>学前教育三年幼儿园入园率达99.8%，义务教育巩固率达100%，特殊教育学前和义务阶段入学率分别达92%和99%。小学生健康优良率达71.2%，高出温州市11.7个百分点；中学生健康优良率达52.3%，高于全市水平。</w:t>
      </w:r>
      <w:bookmarkStart w:id="8" w:name="_Toc1974"/>
    </w:p>
    <w:p>
      <w:pPr>
        <w:widowControl w:val="0"/>
        <w:spacing w:after="60" w:line="360" w:lineRule="auto"/>
        <w:ind w:firstLine="562" w:firstLineChars="200"/>
        <w:jc w:val="both"/>
        <w:rPr>
          <w:rFonts w:ascii="仿宋" w:hAnsi="仿宋" w:eastAsia="仿宋" w:cs="仿宋"/>
          <w:bCs/>
          <w:sz w:val="28"/>
          <w:szCs w:val="28"/>
        </w:rPr>
      </w:pPr>
      <w:r>
        <w:rPr>
          <w:rFonts w:hint="eastAsia" w:ascii="仿宋" w:hAnsi="仿宋" w:eastAsia="仿宋" w:cs="仿宋"/>
          <w:b/>
          <w:sz w:val="28"/>
          <w:szCs w:val="21"/>
        </w:rPr>
        <w:t>——各类教育发展开创新局面</w:t>
      </w:r>
      <w:bookmarkEnd w:id="8"/>
      <w:r>
        <w:rPr>
          <w:rFonts w:hint="eastAsia" w:ascii="仿宋" w:hAnsi="仿宋" w:eastAsia="仿宋" w:cs="仿宋"/>
          <w:b/>
          <w:sz w:val="28"/>
          <w:szCs w:val="21"/>
        </w:rPr>
        <w:t>。</w:t>
      </w:r>
      <w:r>
        <w:rPr>
          <w:rFonts w:hint="eastAsia" w:ascii="仿宋" w:hAnsi="仿宋" w:eastAsia="仿宋" w:cs="仿宋"/>
          <w:bCs/>
          <w:sz w:val="28"/>
          <w:szCs w:val="28"/>
        </w:rPr>
        <w:t>学前教育多项指标全市领先，2018年率先创成温州市学前教育先进区。截至2</w:t>
      </w:r>
      <w:r>
        <w:rPr>
          <w:rFonts w:ascii="仿宋" w:hAnsi="仿宋" w:eastAsia="仿宋" w:cs="仿宋"/>
          <w:bCs/>
          <w:sz w:val="28"/>
          <w:szCs w:val="28"/>
        </w:rPr>
        <w:t>020</w:t>
      </w:r>
      <w:r>
        <w:rPr>
          <w:rFonts w:hint="eastAsia" w:ascii="仿宋" w:hAnsi="仿宋" w:eastAsia="仿宋" w:cs="仿宋"/>
          <w:bCs/>
          <w:sz w:val="28"/>
          <w:szCs w:val="28"/>
        </w:rPr>
        <w:t>年，全区公办幼儿园占比49.25%，公办园覆盖率57.94%，覆盖率位居全市第一；街镇公办中心幼儿园覆盖率达100%。拥有优质园所（区）72个，等级幼儿园覆盖率98.48%，二级以上优质园覆盖率达69.44%，高于全市17.02个百分点。创成浙江省教育基本现代化区，累计新建、扩建中小学9所，新增班级190个，新增学位数8880个。入选市小学教学新常规样板校12所。18所城区初中学校均为市教育局认定的新优质学校，100%创成市教学新常规达标校。建成义务教育标准化学校61所，“十三五”期间标准化学校占比提高了60个百分点，达96.8%。职业教育改革持续推进，</w:t>
      </w:r>
      <w:r>
        <w:rPr>
          <w:rFonts w:ascii="仿宋" w:hAnsi="仿宋" w:eastAsia="仿宋" w:cs="仿宋"/>
          <w:bCs/>
          <w:sz w:val="28"/>
          <w:szCs w:val="28"/>
        </w:rPr>
        <w:t>温州</w:t>
      </w:r>
      <w:r>
        <w:rPr>
          <w:rFonts w:hint="eastAsia" w:ascii="仿宋" w:hAnsi="仿宋" w:eastAsia="仿宋" w:cs="仿宋"/>
          <w:bCs/>
          <w:sz w:val="28"/>
          <w:szCs w:val="28"/>
        </w:rPr>
        <w:t>市</w:t>
      </w:r>
      <w:r>
        <w:rPr>
          <w:rFonts w:ascii="仿宋" w:hAnsi="仿宋" w:eastAsia="仿宋" w:cs="仿宋"/>
          <w:bCs/>
          <w:sz w:val="28"/>
          <w:szCs w:val="28"/>
        </w:rPr>
        <w:t>轻工职</w:t>
      </w:r>
      <w:r>
        <w:rPr>
          <w:rFonts w:hint="eastAsia" w:ascii="仿宋" w:hAnsi="仿宋" w:eastAsia="仿宋" w:cs="仿宋"/>
          <w:bCs/>
          <w:sz w:val="28"/>
          <w:szCs w:val="28"/>
        </w:rPr>
        <w:t>业学</w:t>
      </w:r>
      <w:r>
        <w:rPr>
          <w:rFonts w:ascii="仿宋" w:hAnsi="仿宋" w:eastAsia="仿宋" w:cs="仿宋"/>
          <w:bCs/>
          <w:sz w:val="28"/>
          <w:szCs w:val="28"/>
        </w:rPr>
        <w:t>校</w:t>
      </w:r>
      <w:r>
        <w:rPr>
          <w:rFonts w:hint="eastAsia" w:ascii="仿宋" w:hAnsi="仿宋" w:eastAsia="仿宋" w:cs="仿宋"/>
          <w:bCs/>
          <w:sz w:val="28"/>
          <w:szCs w:val="28"/>
        </w:rPr>
        <w:t>获批成为浙江省中职德育品牌学校、省级首批现代学徒制试点中职学校、浙江省皮革行业协会“改革开放四十周年先进单位”。拥有社区学院、社区学校和社区分校共计98所，其中市等级学校59所，创建率为全市最高，覆盖面达100%。特殊教育持续融合发展，持证残疾儿童少年义务教育入学率居全市第一。全面保障轻度“三残”儿童均等接受义务教育，中重度“三残”儿童100%安排温州市特殊教育学校就读，重度残疾儿童实行送教上门。建立特殊教育随班就读指导中心，经济困难家庭子女教育救助体系不断健全，实现“三个全覆盖”，救助比例100%。</w:t>
      </w:r>
      <w:bookmarkStart w:id="9" w:name="_Toc5075"/>
    </w:p>
    <w:p>
      <w:pPr>
        <w:widowControl w:val="0"/>
        <w:spacing w:after="60" w:line="360" w:lineRule="auto"/>
        <w:ind w:firstLine="562" w:firstLineChars="200"/>
        <w:jc w:val="both"/>
        <w:rPr>
          <w:rFonts w:ascii="仿宋" w:hAnsi="仿宋" w:eastAsia="仿宋" w:cs="仿宋"/>
          <w:bCs/>
          <w:sz w:val="28"/>
          <w:szCs w:val="28"/>
        </w:rPr>
      </w:pPr>
      <w:r>
        <w:rPr>
          <w:rFonts w:hint="eastAsia" w:ascii="仿宋" w:hAnsi="仿宋" w:eastAsia="仿宋" w:cs="仿宋"/>
          <w:b/>
          <w:sz w:val="28"/>
          <w:szCs w:val="21"/>
        </w:rPr>
        <w:t>——教育教学质量再上新台阶。</w:t>
      </w:r>
      <w:r>
        <w:rPr>
          <w:rFonts w:hint="eastAsia" w:ascii="仿宋" w:hAnsi="仿宋" w:eastAsia="仿宋" w:cs="仿宋"/>
          <w:bCs/>
          <w:sz w:val="28"/>
          <w:szCs w:val="28"/>
        </w:rPr>
        <w:t>落实《浙江教育现代化2035 行动纲要》《温州市实施教育优先发展战略加快推进温州教育现代化实施方案》《温州市教育教学质量提升三年行动计划》等政策，牢牢抓住教育教学质量这一生命线。部署实施义务教育质量监测工作，义务教育质量监测水平数据指标总体处于全市前列。初中毕业生升高中段比例均高于99%，位于全市之首。出台《鹿城区教育局关于建立联动机制深化课程改革的通知》，通过“视导、培训、教科研、激励、协作、共享”六大机制，有序推动我区深化课改工作。积极开展艺术教育、劳动教育、体育运动等教育，培育“四品八德”“价值观教育”“新青年下乡”等多个育人品牌。</w:t>
      </w:r>
    </w:p>
    <w:p>
      <w:pPr>
        <w:widowControl w:val="0"/>
        <w:spacing w:after="60" w:line="360" w:lineRule="auto"/>
        <w:ind w:firstLine="562" w:firstLineChars="200"/>
        <w:jc w:val="both"/>
        <w:rPr>
          <w:rFonts w:ascii="仿宋" w:hAnsi="仿宋" w:eastAsia="仿宋" w:cs="仿宋"/>
          <w:bCs/>
          <w:sz w:val="28"/>
          <w:szCs w:val="28"/>
        </w:rPr>
      </w:pPr>
      <w:r>
        <w:rPr>
          <w:rFonts w:hint="eastAsia" w:ascii="仿宋" w:hAnsi="仿宋" w:eastAsia="仿宋" w:cs="仿宋"/>
          <w:b/>
          <w:sz w:val="28"/>
          <w:szCs w:val="21"/>
        </w:rPr>
        <w:t>——教育改革取得新突破</w:t>
      </w:r>
      <w:bookmarkEnd w:id="9"/>
      <w:r>
        <w:rPr>
          <w:rFonts w:hint="eastAsia" w:ascii="仿宋" w:hAnsi="仿宋" w:eastAsia="仿宋" w:cs="仿宋"/>
          <w:b/>
          <w:sz w:val="28"/>
          <w:szCs w:val="21"/>
        </w:rPr>
        <w:t>。</w:t>
      </w:r>
      <w:r>
        <w:rPr>
          <w:rFonts w:hint="eastAsia" w:ascii="仿宋" w:hAnsi="仿宋" w:eastAsia="仿宋" w:cs="仿宋"/>
          <w:bCs/>
          <w:sz w:val="28"/>
          <w:szCs w:val="28"/>
        </w:rPr>
        <w:t>集团化办学颇具成效，被中央教科所认定为全国具有重要借鉴和推广价值的教育创新模式。集团学校和幼儿园覆盖率分别均达到52%和50%。全面推进“最多跑一次”融入教育公共服务领域。推进校园安全管理机制改革，“智安校园”建设三年行动，学校疫情防控、智慧管控、联防联控等机制有效启动。教师队伍建设和优秀师资引培工作成效显著。全面促进中小学师德建设、实施瓯越教育人才培养计划，有效开展“百千万”“五格四型三类”“白鹿教育人才”“教师关爱”工程。深化“区管校聘”校长职级制改革和教师职称制度改革。区级以上骨干教师占全区专任教师总数近26%，特级教师和省市“三坛”教师占专任教师总数的6%。</w:t>
      </w:r>
    </w:p>
    <w:p>
      <w:pPr>
        <w:widowControl w:val="0"/>
        <w:spacing w:after="60" w:line="360" w:lineRule="auto"/>
        <w:ind w:firstLine="562" w:firstLineChars="200"/>
        <w:jc w:val="both"/>
        <w:rPr>
          <w:rFonts w:ascii="仿宋" w:hAnsi="仿宋" w:eastAsia="仿宋" w:cs="仿宋"/>
          <w:bCs/>
          <w:sz w:val="28"/>
          <w:szCs w:val="28"/>
        </w:rPr>
      </w:pPr>
      <w:r>
        <w:rPr>
          <w:rFonts w:hint="eastAsia" w:ascii="仿宋" w:hAnsi="仿宋" w:eastAsia="仿宋" w:cs="仿宋"/>
          <w:b/>
          <w:sz w:val="28"/>
          <w:szCs w:val="21"/>
        </w:rPr>
        <w:t>——教育保障满足新需求。</w:t>
      </w:r>
      <w:r>
        <w:rPr>
          <w:rFonts w:hint="eastAsia" w:ascii="仿宋" w:hAnsi="仿宋" w:eastAsia="仿宋" w:cs="仿宋"/>
          <w:bCs/>
          <w:sz w:val="28"/>
          <w:szCs w:val="28"/>
        </w:rPr>
        <w:t>面向未来教育，加速推进技术创新，促进教学手段智能化、教学管理信息化的发展。教育装备和信息化水平进一步升级。区生均仪器设备经费投入均达到全省投入平均值以上。建成投用鹿城教育大数据平台，13所学校实现课堂点评、校园活动、学业成绩等数据云共享。建成视频会议、云桌面等交互系统10个，招生、人事等应用平台20个，为全区教育管理集约化、数字化提供技术支持。推进教育装备升级，创建总数全市第一，创成书香校园、功能室达标校、智慧校园等16所，创新实验室、智慧教室等30个。全区中小学、幼儿园安保</w:t>
      </w:r>
      <w:r>
        <w:rPr>
          <w:rFonts w:hint="eastAsia" w:ascii="仿宋" w:hAnsi="仿宋" w:eastAsia="仿宋" w:cs="仿宋"/>
          <w:bCs/>
          <w:color w:val="000000" w:themeColor="text1"/>
          <w:sz w:val="28"/>
          <w:szCs w:val="28"/>
          <w:rPrChange w:id="1" w:author="文心雕龙" w:date="2021-09-22T16:30:00Z">
            <w:rPr>
              <w:rFonts w:hint="eastAsia" w:ascii="仿宋" w:hAnsi="仿宋" w:eastAsia="仿宋" w:cs="仿宋"/>
              <w:bCs/>
              <w:sz w:val="28"/>
              <w:szCs w:val="28"/>
            </w:rPr>
          </w:rPrChange>
        </w:rPr>
        <w:t>经费单列财政预</w:t>
      </w:r>
      <w:r>
        <w:rPr>
          <w:rFonts w:hint="eastAsia" w:ascii="仿宋" w:hAnsi="仿宋" w:eastAsia="仿宋" w:cs="仿宋"/>
          <w:bCs/>
          <w:sz w:val="28"/>
          <w:szCs w:val="28"/>
        </w:rPr>
        <w:t>算，每年保障专项经费，用于人防、物防、技防建设。</w:t>
      </w:r>
    </w:p>
    <w:p>
      <w:pPr>
        <w:widowControl w:val="0"/>
        <w:spacing w:after="60" w:line="360" w:lineRule="auto"/>
        <w:ind w:firstLine="562" w:firstLineChars="200"/>
        <w:jc w:val="both"/>
        <w:rPr>
          <w:rFonts w:ascii="仿宋" w:hAnsi="仿宋" w:eastAsia="仿宋" w:cs="仿宋"/>
          <w:sz w:val="28"/>
          <w:szCs w:val="28"/>
        </w:rPr>
      </w:pPr>
      <w:bookmarkStart w:id="10" w:name="_Toc22270"/>
      <w:r>
        <w:rPr>
          <w:rFonts w:hint="eastAsia" w:ascii="仿宋" w:hAnsi="仿宋" w:eastAsia="仿宋" w:cs="仿宋"/>
          <w:b/>
          <w:bCs/>
          <w:sz w:val="28"/>
          <w:szCs w:val="28"/>
        </w:rPr>
        <w:t>——教育事业展现新</w:t>
      </w:r>
      <w:bookmarkEnd w:id="10"/>
      <w:r>
        <w:rPr>
          <w:rFonts w:hint="eastAsia" w:ascii="仿宋" w:hAnsi="仿宋" w:eastAsia="仿宋" w:cs="仿宋"/>
          <w:b/>
          <w:bCs/>
          <w:sz w:val="28"/>
          <w:szCs w:val="28"/>
        </w:rPr>
        <w:t>成就。</w:t>
      </w:r>
      <w:r>
        <w:rPr>
          <w:rFonts w:hint="eastAsia" w:ascii="仿宋" w:hAnsi="仿宋" w:eastAsia="仿宋" w:cs="仿宋"/>
          <w:sz w:val="28"/>
          <w:szCs w:val="28"/>
        </w:rPr>
        <w:t>充分实施“首位教育</w:t>
      </w:r>
      <w:r>
        <w:rPr>
          <w:rFonts w:hint="eastAsia" w:ascii="仿宋" w:hAnsi="仿宋" w:eastAsia="仿宋" w:cs="仿宋"/>
          <w:kern w:val="2"/>
          <w:sz w:val="28"/>
          <w:szCs w:val="28"/>
        </w:rPr>
        <w:t>，学在鹿城</w:t>
      </w:r>
      <w:r>
        <w:rPr>
          <w:rFonts w:hint="eastAsia" w:ascii="仿宋" w:hAnsi="仿宋" w:eastAsia="仿宋" w:cs="仿宋"/>
          <w:sz w:val="28"/>
          <w:szCs w:val="28"/>
        </w:rPr>
        <w:t>”战略，教育事业取得新成就，被确定为“浙江省实施《3-6岁儿童学习与发展指南》实验区”。先后创成了“浙江省教育强区”</w:t>
      </w:r>
      <w:r>
        <w:rPr>
          <w:rFonts w:hint="eastAsia" w:ascii="仿宋" w:hAnsi="仿宋" w:eastAsia="仿宋" w:cs="仿宋"/>
          <w:bCs/>
          <w:sz w:val="28"/>
          <w:szCs w:val="28"/>
        </w:rPr>
        <w:t>“浙江省第三批教育技术装备规范管理示范区”“浙江省首批学习型城市”</w:t>
      </w:r>
      <w:ins w:id="2" w:author="马卡龙小红妹" w:date="2021-09-10T17:54:00Z">
        <w:r>
          <w:rPr>
            <w:rFonts w:hint="eastAsia" w:ascii="仿宋" w:hAnsi="仿宋" w:eastAsia="仿宋" w:cs="仿宋"/>
            <w:bCs/>
            <w:color w:val="000000" w:themeColor="text1"/>
            <w:sz w:val="28"/>
            <w:szCs w:val="28"/>
          </w:rPr>
          <w:t>“浙江省区域推进语言文字规范化区”</w:t>
        </w:r>
      </w:ins>
      <w:r>
        <w:rPr>
          <w:rFonts w:hint="eastAsia" w:ascii="仿宋" w:hAnsi="仿宋" w:eastAsia="仿宋" w:cs="仿宋"/>
          <w:color w:val="000000" w:themeColor="text1"/>
          <w:sz w:val="28"/>
          <w:szCs w:val="28"/>
          <w:rPrChange w:id="3" w:author="文心雕龙" w:date="2021-09-22T16:31:00Z">
            <w:rPr>
              <w:rFonts w:hint="eastAsia" w:ascii="仿宋" w:hAnsi="仿宋" w:eastAsia="仿宋" w:cs="仿宋"/>
              <w:sz w:val="28"/>
              <w:szCs w:val="28"/>
            </w:rPr>
          </w:rPrChange>
        </w:rPr>
        <w:t>“全国义务教育发展基本均衡区”</w:t>
      </w:r>
      <w:r>
        <w:rPr>
          <w:rFonts w:hint="eastAsia" w:ascii="仿宋" w:hAnsi="仿宋" w:eastAsia="仿宋" w:cs="仿宋"/>
          <w:sz w:val="28"/>
          <w:szCs w:val="28"/>
        </w:rPr>
        <w:t>“全国家庭教育工作示范区”“全国区域教育发展特色示范区”，开发省级精品课程5项，市级24项，区级133项，成为全国20个具有鲜明教育特色和示范价值的地区之一。鹿城区教育大数据入选“全国互联网+十佳民生工程”项目，被《人民日报》专题推介。创建特色化品牌，鹿城“学生社会大课堂”德育实践项目被省教育厅等10个部门推广，成为“教育改革看温州”的开篇。荣获“全国青少年人工智能活动特色单位”“全国优秀外语小学”等各类国家级、省市级重要荣誉198项。区教育局荣获“2018年度浙江省教育工作业绩考核优秀单位”称号。</w:t>
      </w:r>
    </w:p>
    <w:p>
      <w:pPr>
        <w:pStyle w:val="2"/>
        <w:spacing w:after="60" w:line="360" w:lineRule="auto"/>
        <w:rPr>
          <w:rFonts w:ascii="仿宋" w:hAnsi="仿宋" w:eastAsia="仿宋" w:cs="仿宋"/>
          <w:kern w:val="0"/>
          <w:szCs w:val="28"/>
        </w:rPr>
      </w:pPr>
      <w:r>
        <w:rPr>
          <w:rFonts w:hint="eastAsia" w:ascii="仿宋" w:hAnsi="仿宋" w:eastAsia="仿宋" w:cs="仿宋"/>
          <w:kern w:val="0"/>
          <w:szCs w:val="28"/>
        </w:rPr>
        <w:t>“十三五”期间，鹿城区教育事业取得了显著成效，但对照人民群众对教育的更高要求和更多期待，对标高水平教育现代化指标，对比省内先进地区，区教育事业仍存在一些短板。主要表现在义务教育优质公益资源还不足，教师队伍建设不够有力，教育改革体制机制需进一步创新，义务教育校际均衡差异有待进一步降低。这些短板亟需在“十四五”得到解决和突破。</w:t>
      </w:r>
    </w:p>
    <w:p>
      <w:pPr>
        <w:pStyle w:val="5"/>
        <w:widowControl w:val="0"/>
        <w:spacing w:before="120" w:after="60" w:line="360" w:lineRule="auto"/>
        <w:ind w:firstLine="562" w:firstLineChars="200"/>
        <w:rPr>
          <w:rFonts w:ascii="仿宋" w:hAnsi="仿宋" w:eastAsia="仿宋" w:cs="仿宋"/>
          <w:sz w:val="28"/>
          <w:szCs w:val="21"/>
        </w:rPr>
      </w:pPr>
      <w:bookmarkStart w:id="11" w:name="_Toc7022"/>
      <w:bookmarkStart w:id="12" w:name="_Toc24051"/>
      <w:bookmarkStart w:id="13" w:name="_Toc5148"/>
      <w:r>
        <w:rPr>
          <w:rFonts w:hint="eastAsia" w:ascii="仿宋" w:hAnsi="仿宋" w:eastAsia="仿宋" w:cs="仿宋"/>
          <w:sz w:val="28"/>
          <w:szCs w:val="21"/>
        </w:rPr>
        <w:t>（二）“十四五”教育事业发展展望</w:t>
      </w:r>
      <w:bookmarkEnd w:id="11"/>
      <w:bookmarkEnd w:id="12"/>
      <w:bookmarkEnd w:id="13"/>
    </w:p>
    <w:p>
      <w:pPr>
        <w:widowControl w:val="0"/>
        <w:spacing w:after="60" w:line="360" w:lineRule="auto"/>
        <w:ind w:firstLine="562" w:firstLineChars="200"/>
        <w:jc w:val="both"/>
        <w:rPr>
          <w:rFonts w:ascii="仿宋" w:hAnsi="仿宋" w:eastAsia="仿宋" w:cs="仿宋"/>
          <w:sz w:val="28"/>
          <w:szCs w:val="28"/>
        </w:rPr>
      </w:pPr>
      <w:r>
        <w:rPr>
          <w:rFonts w:hint="eastAsia" w:ascii="仿宋" w:hAnsi="仿宋" w:eastAsia="仿宋" w:cs="仿宋"/>
          <w:b/>
          <w:bCs/>
          <w:sz w:val="28"/>
          <w:szCs w:val="28"/>
        </w:rPr>
        <w:t>——教育事业战略地位提升。</w:t>
      </w:r>
      <w:r>
        <w:rPr>
          <w:rFonts w:hint="eastAsia" w:ascii="仿宋" w:hAnsi="仿宋" w:eastAsia="仿宋" w:cs="仿宋"/>
          <w:sz w:val="28"/>
          <w:szCs w:val="28"/>
        </w:rPr>
        <w:t>鹿城正处于城市蝶变关键期，需扛起主城区担当，深入贯彻教育优先发展战略，把教育作为首要民生实事和提升城市价值的有力抓手，加大优质教育资源供给力度，加大优质师资培养力度，加大特色品牌学校扶持力度，加大课程改革推进力度，加大教育成果培育力度，打造鹿城教育核心竞争力，以“名校、名师、名生”的金招牌来巩固鹿城教育首位度。</w:t>
      </w:r>
    </w:p>
    <w:p>
      <w:pPr>
        <w:widowControl w:val="0"/>
        <w:spacing w:after="60" w:line="360" w:lineRule="auto"/>
        <w:ind w:firstLine="562" w:firstLineChars="200"/>
        <w:jc w:val="both"/>
        <w:rPr>
          <w:rFonts w:ascii="仿宋" w:hAnsi="仿宋" w:eastAsia="仿宋" w:cs="仿宋"/>
          <w:sz w:val="28"/>
          <w:szCs w:val="28"/>
        </w:rPr>
      </w:pPr>
      <w:r>
        <w:rPr>
          <w:rFonts w:hint="eastAsia" w:ascii="仿宋" w:hAnsi="仿宋" w:eastAsia="仿宋" w:cs="仿宋"/>
          <w:b/>
          <w:bCs/>
          <w:sz w:val="28"/>
          <w:szCs w:val="28"/>
        </w:rPr>
        <w:t>——未来教育体系加速形成。</w:t>
      </w:r>
      <w:r>
        <w:rPr>
          <w:rFonts w:hint="eastAsia" w:ascii="仿宋" w:hAnsi="仿宋" w:eastAsia="仿宋" w:cs="仿宋"/>
          <w:sz w:val="28"/>
          <w:szCs w:val="28"/>
        </w:rPr>
        <w:t>智慧教育作为依托信息技术所打造的物联化、智能化、感知化、泛在化的教育信息生态系统，已经初步描绘出未来教育图景。要在浙江省教育基本现代化区的基础上，以“未来学校”“未来学生”“未来课堂”“未来教师”“未来社区教育”建设为抓手，构建适用于信息化时代的现代化教育体系，打造鹿城未来教育金名片。</w:t>
      </w:r>
    </w:p>
    <w:p>
      <w:pPr>
        <w:widowControl w:val="0"/>
        <w:spacing w:after="60" w:line="360" w:lineRule="auto"/>
        <w:ind w:firstLine="562" w:firstLineChars="200"/>
        <w:jc w:val="both"/>
        <w:rPr>
          <w:rFonts w:ascii="仿宋" w:hAnsi="仿宋" w:eastAsia="仿宋" w:cs="仿宋"/>
          <w:sz w:val="28"/>
          <w:szCs w:val="28"/>
        </w:rPr>
      </w:pPr>
      <w:r>
        <w:rPr>
          <w:rFonts w:hint="eastAsia" w:ascii="仿宋" w:hAnsi="仿宋" w:eastAsia="仿宋" w:cs="仿宋"/>
          <w:b/>
          <w:bCs/>
          <w:sz w:val="28"/>
          <w:szCs w:val="28"/>
        </w:rPr>
        <w:t>——教育治理能力再度提升。</w:t>
      </w:r>
      <w:r>
        <w:rPr>
          <w:rFonts w:hint="eastAsia" w:ascii="仿宋" w:hAnsi="仿宋" w:eastAsia="仿宋" w:cs="仿宋"/>
          <w:sz w:val="28"/>
          <w:szCs w:val="28"/>
        </w:rPr>
        <w:t>教育治理体系和治理能力现代化</w:t>
      </w:r>
      <w:r>
        <w:rPr>
          <w:rFonts w:hint="eastAsia" w:ascii="仿宋" w:hAnsi="仿宋" w:eastAsia="仿宋"/>
          <w:spacing w:val="15"/>
          <w:sz w:val="28"/>
          <w:shd w:val="clear" w:color="auto" w:fill="FFFFFF"/>
        </w:rPr>
        <w:t>是教育现代化的重要内容</w:t>
      </w:r>
      <w:r>
        <w:rPr>
          <w:rFonts w:hint="eastAsia"/>
          <w:spacing w:val="15"/>
          <w:shd w:val="clear" w:color="auto" w:fill="FFFFFF"/>
        </w:rPr>
        <w:t>，</w:t>
      </w:r>
      <w:r>
        <w:rPr>
          <w:rFonts w:hint="eastAsia" w:ascii="仿宋" w:hAnsi="仿宋" w:eastAsia="仿宋" w:cs="仿宋"/>
          <w:sz w:val="28"/>
          <w:szCs w:val="28"/>
        </w:rPr>
        <w:t>鹿城教育治理现代化要</w:t>
      </w:r>
      <w:r>
        <w:rPr>
          <w:rFonts w:hint="eastAsia" w:ascii="仿宋" w:hAnsi="仿宋" w:eastAsia="仿宋"/>
          <w:sz w:val="28"/>
          <w:szCs w:val="28"/>
          <w:shd w:val="clear" w:color="auto" w:fill="FFFFFF"/>
        </w:rPr>
        <w:t>以构建政府、学校、社会新型关系为核心，</w:t>
      </w:r>
      <w:r>
        <w:rPr>
          <w:rFonts w:hint="eastAsia" w:ascii="仿宋" w:hAnsi="仿宋" w:eastAsia="仿宋" w:cs="仿宋"/>
          <w:sz w:val="28"/>
          <w:szCs w:val="28"/>
        </w:rPr>
        <w:t>强化党建引领，坚持依法治教，完善权责统一的教育领导体制，建立健全各级各类教育办学体制，深化学校治理改革，推进教育综合治理，形成新时代</w:t>
      </w:r>
      <w:r>
        <w:rPr>
          <w:rFonts w:hint="eastAsia" w:ascii="仿宋" w:hAnsi="仿宋" w:eastAsia="仿宋"/>
          <w:sz w:val="28"/>
          <w:szCs w:val="28"/>
          <w:shd w:val="clear" w:color="auto" w:fill="FFFFFF"/>
        </w:rPr>
        <w:t>政府依法管理、学校依法自主办学、社会各界依法参与和监督的教育公共治理新格局</w:t>
      </w:r>
      <w:r>
        <w:rPr>
          <w:rFonts w:hint="eastAsia" w:ascii="仿宋" w:hAnsi="仿宋" w:eastAsia="仿宋" w:cs="仿宋"/>
          <w:sz w:val="28"/>
          <w:szCs w:val="28"/>
        </w:rPr>
        <w:t>。</w:t>
      </w:r>
    </w:p>
    <w:p>
      <w:pPr>
        <w:widowControl w:val="0"/>
        <w:spacing w:after="60" w:line="360" w:lineRule="auto"/>
        <w:ind w:firstLine="562" w:firstLineChars="200"/>
        <w:jc w:val="both"/>
        <w:rPr>
          <w:rFonts w:ascii="仿宋" w:hAnsi="仿宋" w:eastAsia="仿宋" w:cs="仿宋"/>
          <w:sz w:val="28"/>
          <w:szCs w:val="28"/>
        </w:rPr>
      </w:pPr>
      <w:r>
        <w:rPr>
          <w:rFonts w:hint="eastAsia" w:ascii="仿宋" w:hAnsi="仿宋" w:eastAsia="仿宋" w:cs="仿宋"/>
          <w:b/>
          <w:bCs/>
          <w:sz w:val="28"/>
          <w:szCs w:val="28"/>
        </w:rPr>
        <w:t>——教育教学改革走向深化。</w:t>
      </w:r>
      <w:r>
        <w:rPr>
          <w:rFonts w:hint="eastAsia" w:ascii="仿宋" w:hAnsi="仿宋" w:eastAsia="仿宋" w:cs="仿宋"/>
          <w:sz w:val="28"/>
          <w:szCs w:val="28"/>
        </w:rPr>
        <w:t>未来社会对人才素质提出更高的要求，鹿城需要强化主城区意识，在学生综合素质和核心素养培养方面作出有益探索。以课程方案和课程标准为抓手，把核心素养和学业质量要求落实到课程建设和组织实施之中，形成一批具有较大影响力的标志性课程改革成果。扎实深入推进评价生态改革，借助大数据技术优化综合素质评价指标体系，让评价更加客观、多元、精准。</w:t>
      </w:r>
    </w:p>
    <w:p>
      <w:pPr>
        <w:widowControl w:val="0"/>
        <w:spacing w:after="60" w:line="360" w:lineRule="auto"/>
        <w:ind w:firstLine="562" w:firstLineChars="200"/>
        <w:jc w:val="both"/>
        <w:rPr>
          <w:rFonts w:ascii="仿宋" w:hAnsi="仿宋" w:eastAsia="仿宋" w:cs="仿宋"/>
          <w:sz w:val="28"/>
          <w:szCs w:val="28"/>
        </w:rPr>
      </w:pPr>
      <w:r>
        <w:rPr>
          <w:rFonts w:hint="eastAsia" w:ascii="仿宋" w:hAnsi="仿宋" w:eastAsia="仿宋" w:cs="Arial"/>
          <w:b/>
          <w:bCs/>
          <w:sz w:val="28"/>
          <w:szCs w:val="21"/>
          <w:shd w:val="clear" w:color="auto" w:fill="FFFFFF"/>
        </w:rPr>
        <w:t>——终身教育观念深入人心。</w:t>
      </w:r>
      <w:r>
        <w:rPr>
          <w:rFonts w:ascii="仿宋" w:hAnsi="仿宋" w:eastAsia="仿宋" w:cs="Arial"/>
          <w:sz w:val="28"/>
          <w:szCs w:val="21"/>
          <w:shd w:val="clear" w:color="auto" w:fill="FFFFFF"/>
        </w:rPr>
        <w:t>全面实施终身教育，</w:t>
      </w:r>
      <w:r>
        <w:rPr>
          <w:rFonts w:hint="eastAsia" w:ascii="仿宋" w:hAnsi="仿宋" w:eastAsia="仿宋" w:cs="仿宋"/>
          <w:sz w:val="28"/>
          <w:szCs w:val="28"/>
        </w:rPr>
        <w:t>完善终身教育体系，建设学习型社会，是实现全面建成小康社会重大战略任务的根本保障。着力构建政府主导、部门配合、社会参与的终身教育发展新</w:t>
      </w:r>
      <w:r>
        <w:rPr>
          <w:rFonts w:hint="eastAsia" w:ascii="仿宋" w:hAnsi="仿宋" w:eastAsia="仿宋" w:cs="仿宋"/>
          <w:color w:val="000000" w:themeColor="text1"/>
          <w:sz w:val="28"/>
          <w:szCs w:val="28"/>
        </w:rPr>
        <w:t>格局</w:t>
      </w:r>
      <w:r>
        <w:rPr>
          <w:rFonts w:hint="eastAsia" w:ascii="仿宋" w:hAnsi="仿宋" w:eastAsia="仿宋" w:cs="仿宋"/>
          <w:sz w:val="28"/>
          <w:szCs w:val="28"/>
        </w:rPr>
        <w:t>，通过各种教育类型和各类教育资源之间的相互衔接，形成以社区教育为切入点，各种教育结构广泛参与的社会化、开放式、多层次、多形式的终身教育大体系，助力鹿城建设学习型城市。</w:t>
      </w:r>
    </w:p>
    <w:p>
      <w:pPr>
        <w:pStyle w:val="4"/>
        <w:widowControl w:val="0"/>
        <w:spacing w:before="240" w:after="60" w:line="360" w:lineRule="auto"/>
        <w:ind w:firstLine="723" w:firstLineChars="200"/>
        <w:jc w:val="both"/>
        <w:rPr>
          <w:rFonts w:ascii="仿宋" w:hAnsi="仿宋" w:eastAsia="仿宋" w:cs="仿宋"/>
          <w:sz w:val="36"/>
          <w:szCs w:val="20"/>
        </w:rPr>
        <w:pPrChange w:id="4" w:author="文心雕龙" w:date="2021-09-03T15:47:00Z">
          <w:pPr>
            <w:pStyle w:val="4"/>
            <w:widowControl w:val="0"/>
            <w:spacing w:before="240" w:after="60" w:line="360" w:lineRule="auto"/>
            <w:jc w:val="both"/>
          </w:pPr>
        </w:pPrChange>
      </w:pPr>
      <w:bookmarkStart w:id="14" w:name="_Toc7705"/>
      <w:bookmarkStart w:id="15" w:name="_Toc32767"/>
      <w:bookmarkStart w:id="16" w:name="_Toc18845"/>
      <w:r>
        <w:rPr>
          <w:rFonts w:hint="eastAsia" w:ascii="仿宋" w:hAnsi="仿宋" w:eastAsia="仿宋" w:cs="仿宋"/>
          <w:sz w:val="36"/>
          <w:szCs w:val="20"/>
        </w:rPr>
        <w:t>二、发展思路</w:t>
      </w:r>
      <w:bookmarkEnd w:id="14"/>
    </w:p>
    <w:p>
      <w:pPr>
        <w:pStyle w:val="5"/>
        <w:widowControl w:val="0"/>
        <w:spacing w:before="120" w:after="60" w:line="360" w:lineRule="auto"/>
        <w:ind w:firstLine="562" w:firstLineChars="200"/>
        <w:rPr>
          <w:rFonts w:ascii="仿宋" w:hAnsi="仿宋" w:eastAsia="仿宋" w:cs="仿宋"/>
          <w:sz w:val="28"/>
          <w:szCs w:val="21"/>
        </w:rPr>
      </w:pPr>
      <w:bookmarkStart w:id="17" w:name="_Toc9673"/>
      <w:r>
        <w:rPr>
          <w:rFonts w:hint="eastAsia" w:ascii="仿宋" w:hAnsi="仿宋" w:eastAsia="仿宋" w:cs="仿宋"/>
          <w:sz w:val="28"/>
          <w:szCs w:val="21"/>
        </w:rPr>
        <w:t>（一）指导思想</w:t>
      </w:r>
      <w:bookmarkEnd w:id="17"/>
    </w:p>
    <w:p>
      <w:pPr>
        <w:widowControl w:val="0"/>
        <w:spacing w:after="60" w:line="360" w:lineRule="auto"/>
        <w:ind w:firstLine="560" w:firstLineChars="200"/>
        <w:jc w:val="both"/>
        <w:rPr>
          <w:rFonts w:ascii="仿宋" w:hAnsi="仿宋" w:eastAsia="仿宋" w:cs="仿宋"/>
          <w:sz w:val="28"/>
          <w:szCs w:val="28"/>
        </w:rPr>
      </w:pPr>
      <w:bookmarkStart w:id="18" w:name="_Hlk59918427"/>
      <w:r>
        <w:rPr>
          <w:rFonts w:hint="eastAsia" w:ascii="仿宋" w:hAnsi="仿宋" w:eastAsia="仿宋" w:cs="仿宋"/>
          <w:sz w:val="28"/>
          <w:szCs w:val="28"/>
        </w:rPr>
        <w:t>以习近平新时代中国特色社会主义思想为指导，深入贯彻党的十九大和十九届二、三、四、五中全会以及全国、全省、全市教育大会精神，全面贯彻落实党的教育方针，践行“重要窗口”新使命，优先发展教育事业，落实立德树人根本任务，锚定“</w:t>
      </w:r>
      <w:bookmarkStart w:id="19" w:name="_Hlk59918169"/>
      <w:r>
        <w:rPr>
          <w:rFonts w:hint="eastAsia" w:ascii="仿宋" w:hAnsi="仿宋" w:eastAsia="仿宋" w:cs="仿宋"/>
          <w:sz w:val="28"/>
          <w:szCs w:val="28"/>
        </w:rPr>
        <w:t>高质量办好人民满意教育、高水平打造教育现代化强区</w:t>
      </w:r>
      <w:bookmarkEnd w:id="19"/>
      <w:r>
        <w:rPr>
          <w:rFonts w:hint="eastAsia" w:ascii="仿宋" w:hAnsi="仿宋" w:eastAsia="仿宋" w:cs="仿宋"/>
          <w:sz w:val="28"/>
          <w:szCs w:val="28"/>
        </w:rPr>
        <w:t>”的总体目标，打造</w:t>
      </w:r>
      <w:r>
        <w:rPr>
          <w:rFonts w:ascii="仿宋" w:hAnsi="仿宋" w:eastAsia="仿宋" w:cs="仿宋"/>
          <w:sz w:val="28"/>
          <w:szCs w:val="28"/>
        </w:rPr>
        <w:t>美好教育，</w:t>
      </w:r>
      <w:r>
        <w:rPr>
          <w:rFonts w:hint="eastAsia" w:ascii="仿宋" w:hAnsi="仿宋" w:eastAsia="仿宋" w:cs="仿宋"/>
          <w:sz w:val="28"/>
          <w:szCs w:val="28"/>
        </w:rPr>
        <w:t>全面提升办学水平和教育质量，努力将鹿城区建设成为教育现代化的先行地、教育教学质量的新高地，教育优质均衡的示范地，</w:t>
      </w:r>
      <w:r>
        <w:rPr>
          <w:rFonts w:ascii="仿宋" w:hAnsi="仿宋" w:eastAsia="仿宋" w:cs="仿宋"/>
          <w:sz w:val="28"/>
          <w:szCs w:val="28"/>
        </w:rPr>
        <w:t>高质量</w:t>
      </w:r>
      <w:r>
        <w:rPr>
          <w:rFonts w:hint="eastAsia" w:ascii="仿宋" w:hAnsi="仿宋" w:eastAsia="仿宋" w:cs="仿宋"/>
          <w:sz w:val="28"/>
          <w:szCs w:val="28"/>
        </w:rPr>
        <w:t>助推</w:t>
      </w:r>
      <w:r>
        <w:rPr>
          <w:rFonts w:ascii="仿宋" w:hAnsi="仿宋" w:eastAsia="仿宋" w:cs="仿宋"/>
          <w:sz w:val="28"/>
          <w:szCs w:val="28"/>
        </w:rPr>
        <w:t>“</w:t>
      </w:r>
      <w:r>
        <w:rPr>
          <w:rFonts w:hint="eastAsia" w:ascii="仿宋" w:hAnsi="仿宋" w:eastAsia="仿宋" w:cs="仿宋"/>
          <w:sz w:val="28"/>
          <w:szCs w:val="28"/>
        </w:rPr>
        <w:t>一</w:t>
      </w:r>
      <w:r>
        <w:rPr>
          <w:rFonts w:ascii="仿宋" w:hAnsi="仿宋" w:eastAsia="仿宋" w:cs="仿宋"/>
          <w:sz w:val="28"/>
          <w:szCs w:val="28"/>
        </w:rPr>
        <w:t>都三城</w:t>
      </w:r>
      <w:r>
        <w:rPr>
          <w:rFonts w:hint="eastAsia" w:ascii="仿宋" w:hAnsi="仿宋" w:eastAsia="仿宋" w:cs="仿宋"/>
          <w:sz w:val="28"/>
          <w:szCs w:val="28"/>
        </w:rPr>
        <w:t>五</w:t>
      </w:r>
      <w:r>
        <w:rPr>
          <w:rFonts w:ascii="仿宋" w:hAnsi="仿宋" w:eastAsia="仿宋" w:cs="仿宋"/>
          <w:sz w:val="28"/>
          <w:szCs w:val="28"/>
        </w:rPr>
        <w:t>区”</w:t>
      </w:r>
      <w:r>
        <w:rPr>
          <w:rFonts w:hint="eastAsia" w:ascii="仿宋" w:hAnsi="仿宋" w:eastAsia="仿宋" w:cs="仿宋"/>
          <w:sz w:val="28"/>
          <w:szCs w:val="28"/>
        </w:rPr>
        <w:t>战略</w:t>
      </w:r>
      <w:r>
        <w:rPr>
          <w:rFonts w:ascii="仿宋" w:hAnsi="仿宋" w:eastAsia="仿宋" w:cs="仿宋"/>
          <w:sz w:val="28"/>
          <w:szCs w:val="28"/>
        </w:rPr>
        <w:t>实施</w:t>
      </w:r>
      <w:r>
        <w:rPr>
          <w:rFonts w:hint="eastAsia" w:ascii="仿宋" w:hAnsi="仿宋" w:eastAsia="仿宋" w:cs="仿宋"/>
          <w:sz w:val="28"/>
          <w:szCs w:val="28"/>
        </w:rPr>
        <w:t>，为高</w:t>
      </w:r>
      <w:r>
        <w:rPr>
          <w:rFonts w:ascii="仿宋" w:hAnsi="仿宋" w:eastAsia="仿宋" w:cs="仿宋"/>
          <w:sz w:val="28"/>
          <w:szCs w:val="28"/>
        </w:rPr>
        <w:t>水平建设社会主义现代化先行区</w:t>
      </w:r>
      <w:r>
        <w:rPr>
          <w:rFonts w:hint="eastAsia" w:ascii="仿宋" w:hAnsi="仿宋" w:eastAsia="仿宋" w:cs="仿宋"/>
          <w:sz w:val="28"/>
          <w:szCs w:val="28"/>
        </w:rPr>
        <w:t>和温州经济社会发展提供强有力的人才和智力支撑，为浙江“重要窗口”和“共同富裕示范区”建设奠定教育根基。</w:t>
      </w:r>
    </w:p>
    <w:bookmarkEnd w:id="18"/>
    <w:p>
      <w:pPr>
        <w:pStyle w:val="5"/>
        <w:widowControl w:val="0"/>
        <w:spacing w:before="120" w:after="60" w:line="360" w:lineRule="auto"/>
        <w:ind w:firstLine="562" w:firstLineChars="200"/>
        <w:rPr>
          <w:rFonts w:ascii="仿宋" w:hAnsi="仿宋" w:eastAsia="仿宋" w:cs="仿宋"/>
          <w:sz w:val="28"/>
          <w:szCs w:val="21"/>
        </w:rPr>
      </w:pPr>
      <w:bookmarkStart w:id="20" w:name="_Toc32003"/>
      <w:r>
        <w:rPr>
          <w:rFonts w:hint="eastAsia" w:ascii="仿宋" w:hAnsi="仿宋" w:eastAsia="仿宋" w:cs="仿宋"/>
          <w:sz w:val="28"/>
          <w:szCs w:val="21"/>
        </w:rPr>
        <w:t>（二）发展原则</w:t>
      </w:r>
      <w:bookmarkEnd w:id="20"/>
    </w:p>
    <w:p>
      <w:pPr>
        <w:widowControl w:val="0"/>
        <w:autoSpaceDE w:val="0"/>
        <w:autoSpaceDN w:val="0"/>
        <w:spacing w:after="60" w:line="360" w:lineRule="auto"/>
        <w:ind w:firstLine="562" w:firstLineChars="200"/>
        <w:rPr>
          <w:rFonts w:ascii="仿宋" w:hAnsi="仿宋" w:eastAsia="仿宋" w:cs="仿宋"/>
          <w:sz w:val="28"/>
          <w:szCs w:val="28"/>
        </w:rPr>
      </w:pPr>
      <w:r>
        <w:rPr>
          <w:rFonts w:hint="eastAsia" w:ascii="仿宋" w:hAnsi="仿宋" w:eastAsia="仿宋" w:cs="仿宋"/>
          <w:b/>
          <w:bCs/>
          <w:sz w:val="28"/>
          <w:szCs w:val="28"/>
        </w:rPr>
        <w:t>——坚持立德树人。</w:t>
      </w:r>
      <w:r>
        <w:rPr>
          <w:rFonts w:hint="eastAsia" w:ascii="仿宋" w:hAnsi="仿宋" w:eastAsia="仿宋" w:cs="仿宋"/>
          <w:sz w:val="28"/>
          <w:szCs w:val="28"/>
        </w:rPr>
        <w:t>始终坚持把德育摆在最突出位置，</w:t>
      </w:r>
      <w:r>
        <w:rPr>
          <w:rFonts w:hint="eastAsia" w:ascii="仿宋" w:hAnsi="仿宋" w:eastAsia="仿宋" w:cs="仿宋"/>
          <w:bCs/>
          <w:sz w:val="28"/>
          <w:szCs w:val="28"/>
        </w:rPr>
        <w:t>全面推进依法治教，加强师德师风建设。</w:t>
      </w:r>
      <w:r>
        <w:rPr>
          <w:rFonts w:hint="eastAsia" w:ascii="仿宋" w:hAnsi="仿宋" w:eastAsia="仿宋" w:cs="仿宋"/>
          <w:sz w:val="28"/>
          <w:szCs w:val="28"/>
        </w:rPr>
        <w:t>在全区深化构建中小学价值观教育体系，引导学生树牢“四个意识”，坚定“四个自信”。尊重教育规律和学生身心发展规律，培养德智体美劳全面发展的社会主义建设者和接班人。</w:t>
      </w:r>
    </w:p>
    <w:p>
      <w:pPr>
        <w:widowControl w:val="0"/>
        <w:spacing w:after="60" w:line="360" w:lineRule="auto"/>
        <w:ind w:firstLine="562" w:firstLineChars="200"/>
        <w:jc w:val="both"/>
        <w:rPr>
          <w:rFonts w:ascii="仿宋" w:hAnsi="仿宋" w:eastAsia="仿宋" w:cs="仿宋"/>
          <w:sz w:val="28"/>
          <w:szCs w:val="28"/>
        </w:rPr>
      </w:pPr>
      <w:r>
        <w:rPr>
          <w:rFonts w:hint="eastAsia" w:ascii="仿宋" w:hAnsi="仿宋" w:eastAsia="仿宋" w:cs="仿宋"/>
          <w:b/>
          <w:bCs/>
          <w:sz w:val="28"/>
          <w:szCs w:val="28"/>
        </w:rPr>
        <w:t>——坚持高位均衡。</w:t>
      </w:r>
      <w:r>
        <w:rPr>
          <w:rFonts w:hint="eastAsia" w:ascii="仿宋" w:hAnsi="仿宋" w:eastAsia="仿宋" w:cs="仿宋"/>
          <w:sz w:val="28"/>
          <w:szCs w:val="28"/>
        </w:rPr>
        <w:t>秉持“让每一个孩子享有公平而有质量的教育”理念，以高水平均衡为基本目标，以提高教育质量和促进教育公平为重点，推动城乡义务教育一体化发展。全面优化教育发展环境和办学条件，实施总体布局均衡，推进优质资源均衡配置。强化财政保障，健全保证财政教育投入持续稳定增长的长效机制，确保两个“只增不减”。</w:t>
      </w:r>
    </w:p>
    <w:p>
      <w:pPr>
        <w:widowControl w:val="0"/>
        <w:spacing w:after="60" w:line="360" w:lineRule="auto"/>
        <w:ind w:firstLine="562" w:firstLineChars="200"/>
        <w:jc w:val="both"/>
        <w:rPr>
          <w:rFonts w:ascii="仿宋" w:hAnsi="仿宋" w:eastAsia="仿宋" w:cs="仿宋"/>
          <w:sz w:val="28"/>
          <w:szCs w:val="28"/>
        </w:rPr>
      </w:pPr>
      <w:r>
        <w:rPr>
          <w:rFonts w:hint="eastAsia" w:ascii="仿宋" w:hAnsi="仿宋" w:eastAsia="仿宋" w:cs="仿宋"/>
          <w:b/>
          <w:bCs/>
          <w:sz w:val="28"/>
          <w:szCs w:val="28"/>
        </w:rPr>
        <w:t>——坚持引领共享。</w:t>
      </w:r>
      <w:r>
        <w:rPr>
          <w:rFonts w:hint="eastAsia" w:ascii="仿宋" w:hAnsi="仿宋" w:eastAsia="仿宋" w:cs="仿宋"/>
          <w:sz w:val="28"/>
          <w:szCs w:val="28"/>
        </w:rPr>
        <w:t>高起点、高水平实现教育现代化，打造</w:t>
      </w:r>
      <w:r>
        <w:rPr>
          <w:rFonts w:ascii="仿宋" w:hAnsi="仿宋" w:eastAsia="仿宋" w:cs="仿宋"/>
          <w:sz w:val="28"/>
          <w:szCs w:val="28"/>
        </w:rPr>
        <w:t>鹿城教育高地</w:t>
      </w:r>
      <w:r>
        <w:rPr>
          <w:rFonts w:hint="eastAsia" w:ascii="仿宋" w:hAnsi="仿宋" w:eastAsia="仿宋" w:cs="仿宋"/>
          <w:sz w:val="28"/>
          <w:szCs w:val="28"/>
        </w:rPr>
        <w:t>和全市优质教育资源集聚区</w:t>
      </w:r>
      <w:r>
        <w:rPr>
          <w:rFonts w:ascii="仿宋" w:hAnsi="仿宋" w:eastAsia="仿宋" w:cs="仿宋"/>
          <w:sz w:val="28"/>
          <w:szCs w:val="28"/>
        </w:rPr>
        <w:t>，</w:t>
      </w:r>
      <w:r>
        <w:rPr>
          <w:rFonts w:hint="eastAsia" w:ascii="仿宋" w:hAnsi="仿宋" w:eastAsia="仿宋" w:cs="仿宋"/>
          <w:sz w:val="28"/>
          <w:szCs w:val="28"/>
        </w:rPr>
        <w:t>实现主要教育发展指标位居全市领先水平。培育教育共同体，扩大优质资源共享，形成名校集群，持续推进特色化、品牌化发展战略，引领温州中心城区教育事业发展。打造 “未来教育”创新区，推动传统教育向智慧教育转型。</w:t>
      </w:r>
    </w:p>
    <w:p>
      <w:pPr>
        <w:widowControl w:val="0"/>
        <w:spacing w:after="60" w:line="360" w:lineRule="auto"/>
        <w:ind w:firstLine="562" w:firstLineChars="200"/>
        <w:jc w:val="both"/>
        <w:rPr>
          <w:rFonts w:ascii="仿宋" w:hAnsi="仿宋" w:eastAsia="仿宋" w:cs="仿宋"/>
          <w:sz w:val="28"/>
          <w:szCs w:val="28"/>
        </w:rPr>
      </w:pPr>
      <w:r>
        <w:rPr>
          <w:rFonts w:hint="eastAsia" w:ascii="仿宋" w:hAnsi="仿宋" w:eastAsia="仿宋" w:cs="仿宋"/>
          <w:b/>
          <w:sz w:val="28"/>
          <w:szCs w:val="28"/>
        </w:rPr>
        <w:t>——坚持全纳开放。</w:t>
      </w:r>
      <w:r>
        <w:rPr>
          <w:rFonts w:hint="eastAsia" w:ascii="仿宋" w:hAnsi="仿宋" w:eastAsia="仿宋" w:cs="仿宋"/>
          <w:sz w:val="28"/>
          <w:szCs w:val="28"/>
        </w:rPr>
        <w:t>保障义务教育公平全纳开放，适龄儿童全部免试就近入学。推进康教结合，保障残疾儿童少年100%平等接受义务教育，推进特殊教育向学前和高中学段延伸。健全经济困难家庭子女教育救助体系，确保100%得到救助。保障外来务工人员子女平等享受的受教育机会，流动人口随迁子女公平有序就近入学。构建开放共享的终身教育，推进现代化社区（成人）学校和社区教育品牌建设。</w:t>
      </w:r>
    </w:p>
    <w:p>
      <w:pPr>
        <w:widowControl w:val="0"/>
        <w:spacing w:after="60" w:line="360" w:lineRule="auto"/>
        <w:ind w:firstLine="560" w:firstLineChars="200"/>
        <w:jc w:val="both"/>
        <w:rPr>
          <w:rFonts w:ascii="仿宋" w:hAnsi="仿宋" w:eastAsia="仿宋" w:cs="仿宋"/>
          <w:bCs/>
          <w:sz w:val="28"/>
          <w:szCs w:val="28"/>
        </w:rPr>
      </w:pPr>
      <w:r>
        <w:rPr>
          <w:rFonts w:hint="eastAsia" w:ascii="仿宋" w:hAnsi="仿宋" w:eastAsia="仿宋" w:cs="仿宋"/>
          <w:bCs/>
          <w:sz w:val="28"/>
          <w:szCs w:val="28"/>
        </w:rPr>
        <w:t>——</w:t>
      </w:r>
      <w:r>
        <w:rPr>
          <w:rFonts w:ascii="仿宋" w:hAnsi="仿宋" w:eastAsia="仿宋" w:cs="仿宋"/>
          <w:b/>
          <w:bCs/>
          <w:sz w:val="28"/>
          <w:szCs w:val="28"/>
        </w:rPr>
        <w:t>坚持改革创新。</w:t>
      </w:r>
      <w:r>
        <w:rPr>
          <w:rFonts w:hint="eastAsia" w:ascii="仿宋" w:hAnsi="仿宋" w:eastAsia="仿宋" w:cs="仿宋"/>
          <w:bCs/>
          <w:sz w:val="28"/>
          <w:szCs w:val="28"/>
        </w:rPr>
        <w:t>以创新驱动发展，全面深化教育改革。推进办学体制改革，优化现代学校制度建设，改革创新教育教学方法，提炼办学特色，系统构建理念新颖、内涵丰富，特色鲜明的高品质教育。健全教育督导机制，持续深化教育评价改革，完善教育教学质量监测体系。创新校长聘评机制，加强教师统筹规范管理，全面推进“区管校聘”改革。</w:t>
      </w:r>
    </w:p>
    <w:p>
      <w:pPr>
        <w:pStyle w:val="5"/>
        <w:widowControl w:val="0"/>
        <w:spacing w:before="120" w:after="60" w:line="360" w:lineRule="auto"/>
        <w:ind w:firstLine="562" w:firstLineChars="200"/>
        <w:rPr>
          <w:rFonts w:ascii="仿宋" w:hAnsi="仿宋" w:eastAsia="仿宋" w:cs="仿宋"/>
          <w:sz w:val="28"/>
          <w:szCs w:val="21"/>
        </w:rPr>
      </w:pPr>
      <w:bookmarkStart w:id="21" w:name="_Toc6247"/>
      <w:r>
        <w:rPr>
          <w:rFonts w:hint="eastAsia" w:ascii="仿宋" w:hAnsi="仿宋" w:eastAsia="仿宋" w:cs="仿宋"/>
          <w:sz w:val="28"/>
          <w:szCs w:val="21"/>
        </w:rPr>
        <w:t>（三）总体目标</w:t>
      </w:r>
      <w:bookmarkEnd w:id="21"/>
    </w:p>
    <w:p>
      <w:pPr>
        <w:widowControl w:val="0"/>
        <w:spacing w:after="60" w:line="360" w:lineRule="auto"/>
        <w:ind w:firstLine="560" w:firstLineChars="200"/>
        <w:jc w:val="both"/>
        <w:rPr>
          <w:rFonts w:ascii="仿宋" w:hAnsi="仿宋" w:eastAsia="仿宋" w:cs="仿宋"/>
          <w:bCs/>
          <w:sz w:val="28"/>
          <w:szCs w:val="28"/>
        </w:rPr>
      </w:pPr>
      <w:r>
        <w:rPr>
          <w:rFonts w:hint="eastAsia" w:ascii="仿宋" w:hAnsi="仿宋" w:eastAsia="仿宋" w:cs="仿宋"/>
          <w:bCs/>
          <w:sz w:val="28"/>
          <w:szCs w:val="28"/>
        </w:rPr>
        <w:t>深入实施“首位教育，学在鹿城”战略，落实立德树人根本任务，加快推进教育现代化，全面提高办学水平和教育质量。到2</w:t>
      </w:r>
      <w:r>
        <w:rPr>
          <w:rFonts w:ascii="仿宋" w:hAnsi="仿宋" w:eastAsia="仿宋" w:cs="仿宋"/>
          <w:bCs/>
          <w:sz w:val="28"/>
          <w:szCs w:val="28"/>
        </w:rPr>
        <w:t>025</w:t>
      </w:r>
      <w:r>
        <w:rPr>
          <w:rFonts w:hint="eastAsia" w:ascii="仿宋" w:hAnsi="仿宋" w:eastAsia="仿宋" w:cs="仿宋"/>
          <w:bCs/>
          <w:sz w:val="28"/>
          <w:szCs w:val="28"/>
        </w:rPr>
        <w:t>年，实现“高质量办好人民满意教育、高水平打造教育现代化强区”的总体目标，总体基本实现教育现代化，将鹿城区建设成为展示温州乃至浙江和长三角地区教育现代化水平的“重要窗口”。</w:t>
      </w:r>
    </w:p>
    <w:p>
      <w:pPr>
        <w:widowControl w:val="0"/>
        <w:spacing w:after="60" w:line="360" w:lineRule="auto"/>
        <w:ind w:firstLine="562" w:firstLineChars="200"/>
        <w:rPr>
          <w:rFonts w:ascii="仿宋" w:hAnsi="仿宋" w:eastAsia="仿宋" w:cs="仿宋"/>
          <w:bCs/>
          <w:sz w:val="28"/>
          <w:szCs w:val="28"/>
        </w:rPr>
      </w:pPr>
      <w:r>
        <w:rPr>
          <w:rFonts w:hint="eastAsia" w:ascii="仿宋" w:hAnsi="仿宋" w:eastAsia="仿宋" w:cs="仿宋"/>
          <w:b/>
          <w:sz w:val="28"/>
          <w:szCs w:val="28"/>
        </w:rPr>
        <w:t>——高</w:t>
      </w:r>
      <w:r>
        <w:rPr>
          <w:rFonts w:ascii="仿宋" w:hAnsi="仿宋" w:eastAsia="仿宋" w:cs="仿宋"/>
          <w:b/>
          <w:sz w:val="28"/>
          <w:szCs w:val="28"/>
        </w:rPr>
        <w:t>品质</w:t>
      </w:r>
      <w:r>
        <w:rPr>
          <w:rFonts w:hint="eastAsia" w:ascii="仿宋" w:hAnsi="仿宋" w:eastAsia="仿宋" w:cs="仿宋"/>
          <w:b/>
          <w:sz w:val="28"/>
          <w:szCs w:val="28"/>
        </w:rPr>
        <w:t>发展持续</w:t>
      </w:r>
      <w:r>
        <w:rPr>
          <w:rFonts w:ascii="仿宋" w:hAnsi="仿宋" w:eastAsia="仿宋" w:cs="仿宋"/>
          <w:b/>
          <w:sz w:val="28"/>
          <w:szCs w:val="28"/>
        </w:rPr>
        <w:t>领先</w:t>
      </w:r>
      <w:r>
        <w:rPr>
          <w:rFonts w:hint="eastAsia" w:ascii="仿宋" w:hAnsi="仿宋" w:eastAsia="仿宋" w:cs="仿宋"/>
          <w:b/>
          <w:sz w:val="28"/>
          <w:szCs w:val="28"/>
        </w:rPr>
        <w:t>。</w:t>
      </w:r>
      <w:r>
        <w:rPr>
          <w:rFonts w:hint="eastAsia" w:ascii="仿宋" w:hAnsi="仿宋" w:eastAsia="仿宋" w:cs="仿宋"/>
          <w:bCs/>
          <w:sz w:val="28"/>
          <w:szCs w:val="28"/>
        </w:rPr>
        <w:t>对标《浙江省现代化学校评估细则》《浙江省现代化学校督导评估管理办法》，聚焦优化核心指标，制定《温州市鹿城区未来教育高质量发展三年行动计划（2021—2023）》，坚持教育投入优先安排、教师编制优先落实、教育项目优先建设“三个优先”原则，积极创建省现代化学校，全力夯实共同富裕教育基础。</w:t>
      </w:r>
      <w:r>
        <w:rPr>
          <w:rFonts w:hint="eastAsia" w:ascii="仿宋" w:hAnsi="仿宋" w:eastAsia="仿宋" w:cs="仿宋"/>
          <w:sz w:val="28"/>
          <w:szCs w:val="28"/>
        </w:rPr>
        <w:t>到2025年，全区省现代化学校达30%</w:t>
      </w:r>
      <w:r>
        <w:rPr>
          <w:rFonts w:ascii="仿宋" w:hAnsi="仿宋" w:eastAsia="仿宋" w:cs="仿宋"/>
          <w:sz w:val="28"/>
          <w:szCs w:val="28"/>
        </w:rPr>
        <w:t>以上，</w:t>
      </w:r>
      <w:r>
        <w:rPr>
          <w:rFonts w:hint="eastAsia" w:ascii="仿宋" w:hAnsi="仿宋" w:eastAsia="仿宋" w:cs="仿宋"/>
          <w:sz w:val="28"/>
          <w:szCs w:val="28"/>
        </w:rPr>
        <w:t>省一、二级幼儿园覆盖面达到75%。</w:t>
      </w:r>
    </w:p>
    <w:p>
      <w:pPr>
        <w:widowControl w:val="0"/>
        <w:spacing w:after="60" w:line="360" w:lineRule="auto"/>
        <w:ind w:firstLine="562" w:firstLineChars="200"/>
        <w:jc w:val="both"/>
        <w:rPr>
          <w:rFonts w:ascii="仿宋" w:hAnsi="仿宋" w:eastAsia="仿宋" w:cs="仿宋"/>
          <w:sz w:val="28"/>
          <w:szCs w:val="28"/>
        </w:rPr>
      </w:pPr>
      <w:r>
        <w:rPr>
          <w:rFonts w:hint="eastAsia" w:ascii="仿宋" w:hAnsi="仿宋" w:eastAsia="仿宋" w:cs="仿宋"/>
          <w:b/>
          <w:sz w:val="28"/>
          <w:szCs w:val="28"/>
        </w:rPr>
        <w:t>——均衡化水平显著</w:t>
      </w:r>
      <w:r>
        <w:rPr>
          <w:rFonts w:ascii="仿宋" w:hAnsi="仿宋" w:eastAsia="仿宋" w:cs="仿宋"/>
          <w:b/>
          <w:sz w:val="28"/>
          <w:szCs w:val="28"/>
        </w:rPr>
        <w:t>提升</w:t>
      </w:r>
      <w:r>
        <w:rPr>
          <w:rFonts w:hint="eastAsia" w:ascii="仿宋" w:hAnsi="仿宋" w:eastAsia="仿宋" w:cs="仿宋"/>
          <w:b/>
          <w:sz w:val="28"/>
          <w:szCs w:val="28"/>
        </w:rPr>
        <w:t>。</w:t>
      </w:r>
      <w:r>
        <w:rPr>
          <w:rFonts w:hint="eastAsia" w:ascii="仿宋" w:hAnsi="仿宋" w:eastAsia="仿宋" w:cs="仿宋"/>
          <w:sz w:val="28"/>
          <w:szCs w:val="28"/>
        </w:rPr>
        <w:t>根据东西部功能区块布局和人口聚集程度统筹谋划教育基础设施布局。到2</w:t>
      </w:r>
      <w:r>
        <w:rPr>
          <w:rFonts w:ascii="仿宋" w:hAnsi="仿宋" w:eastAsia="仿宋" w:cs="仿宋"/>
          <w:sz w:val="28"/>
          <w:szCs w:val="28"/>
        </w:rPr>
        <w:t>025</w:t>
      </w:r>
      <w:r>
        <w:rPr>
          <w:rFonts w:hint="eastAsia" w:ascii="仿宋" w:hAnsi="仿宋" w:eastAsia="仿宋" w:cs="仿宋"/>
          <w:sz w:val="28"/>
          <w:szCs w:val="28"/>
        </w:rPr>
        <w:t>年，实现教育城乡一体化均衡发展，优化教育资源合理布局，</w:t>
      </w:r>
      <w:r>
        <w:rPr>
          <w:rFonts w:hint="eastAsia" w:ascii="仿宋" w:hAnsi="仿宋" w:eastAsia="仿宋" w:cs="仿宋"/>
          <w:bCs/>
          <w:sz w:val="28"/>
          <w:szCs w:val="28"/>
        </w:rPr>
        <w:t>学前教育公办园覆盖率达到70%，普惠性</w:t>
      </w:r>
      <w:r>
        <w:rPr>
          <w:rFonts w:ascii="仿宋" w:hAnsi="仿宋" w:eastAsia="仿宋" w:cs="仿宋"/>
          <w:bCs/>
          <w:sz w:val="28"/>
          <w:szCs w:val="28"/>
        </w:rPr>
        <w:t>幼儿园</w:t>
      </w:r>
      <w:r>
        <w:rPr>
          <w:rFonts w:hint="eastAsia" w:ascii="仿宋" w:hAnsi="仿宋" w:eastAsia="仿宋" w:cs="仿宋"/>
          <w:bCs/>
          <w:sz w:val="28"/>
          <w:szCs w:val="28"/>
        </w:rPr>
        <w:t>在园</w:t>
      </w:r>
      <w:r>
        <w:rPr>
          <w:rFonts w:ascii="仿宋" w:hAnsi="仿宋" w:eastAsia="仿宋" w:cs="仿宋"/>
          <w:bCs/>
          <w:sz w:val="28"/>
          <w:szCs w:val="28"/>
        </w:rPr>
        <w:t>幼儿占比达</w:t>
      </w:r>
      <w:r>
        <w:rPr>
          <w:rFonts w:hint="eastAsia" w:ascii="仿宋" w:hAnsi="仿宋" w:eastAsia="仿宋" w:cs="仿宋"/>
          <w:bCs/>
          <w:sz w:val="28"/>
          <w:szCs w:val="28"/>
        </w:rPr>
        <w:t>93</w:t>
      </w:r>
      <w:r>
        <w:rPr>
          <w:rFonts w:ascii="仿宋" w:hAnsi="仿宋" w:eastAsia="仿宋" w:cs="仿宋"/>
          <w:bCs/>
          <w:sz w:val="28"/>
          <w:szCs w:val="28"/>
        </w:rPr>
        <w:t>%以上，</w:t>
      </w:r>
      <w:r>
        <w:rPr>
          <w:rFonts w:hint="eastAsia" w:ascii="仿宋" w:hAnsi="仿宋" w:eastAsia="仿宋" w:cs="仿宋"/>
          <w:sz w:val="28"/>
          <w:szCs w:val="28"/>
        </w:rPr>
        <w:t>省义务标准化学校比例达100%。</w:t>
      </w:r>
      <w:r>
        <w:rPr>
          <w:rFonts w:hint="eastAsia" w:ascii="仿宋" w:hAnsi="仿宋" w:eastAsia="仿宋" w:cs="仿宋"/>
          <w:bCs/>
          <w:sz w:val="28"/>
          <w:szCs w:val="28"/>
        </w:rPr>
        <w:t>全面深化集团化办学，做强教育影响，做优质量内涵，集团化办学覆盖率义务教育段达到100%。</w:t>
      </w:r>
    </w:p>
    <w:p>
      <w:pPr>
        <w:widowControl w:val="0"/>
        <w:spacing w:after="60" w:line="360" w:lineRule="auto"/>
        <w:ind w:firstLine="562" w:firstLineChars="200"/>
        <w:rPr>
          <w:rFonts w:ascii="仿宋" w:hAnsi="仿宋" w:eastAsia="仿宋" w:cs="仿宋"/>
          <w:sz w:val="28"/>
          <w:szCs w:val="28"/>
        </w:rPr>
      </w:pPr>
      <w:r>
        <w:rPr>
          <w:rFonts w:hint="eastAsia" w:ascii="仿宋" w:hAnsi="仿宋" w:eastAsia="仿宋" w:cs="仿宋"/>
          <w:b/>
          <w:sz w:val="28"/>
          <w:szCs w:val="28"/>
        </w:rPr>
        <w:t>——高</w:t>
      </w:r>
      <w:r>
        <w:rPr>
          <w:rFonts w:ascii="仿宋" w:hAnsi="仿宋" w:eastAsia="仿宋" w:cs="仿宋"/>
          <w:b/>
          <w:sz w:val="28"/>
          <w:szCs w:val="28"/>
        </w:rPr>
        <w:t>质量育人</w:t>
      </w:r>
      <w:r>
        <w:rPr>
          <w:rFonts w:hint="eastAsia" w:ascii="仿宋" w:hAnsi="仿宋" w:eastAsia="仿宋" w:cs="仿宋"/>
          <w:b/>
          <w:sz w:val="28"/>
          <w:szCs w:val="28"/>
        </w:rPr>
        <w:t>形成品牌效应。</w:t>
      </w:r>
      <w:r>
        <w:rPr>
          <w:rFonts w:hint="eastAsia" w:ascii="仿宋" w:hAnsi="仿宋" w:eastAsia="仿宋" w:cs="仿宋"/>
          <w:sz w:val="28"/>
          <w:szCs w:val="28"/>
        </w:rPr>
        <w:t>发展特色品牌教育，丰富特色教育发展项目，促进受教育者综合素质全面提高。打响研学教育品牌，为全省研学教育提供“鹿城样板”。</w:t>
      </w:r>
      <w:r>
        <w:rPr>
          <w:rFonts w:hint="eastAsia" w:ascii="仿宋" w:hAnsi="仿宋" w:eastAsia="仿宋" w:cs="仿宋"/>
          <w:bCs/>
          <w:sz w:val="28"/>
          <w:szCs w:val="28"/>
        </w:rPr>
        <w:t>深入推进劳动教育,打造特色劳动实践课程</w:t>
      </w:r>
      <w:r>
        <w:rPr>
          <w:rFonts w:hint="eastAsia" w:ascii="仿宋" w:hAnsi="仿宋" w:eastAsia="仿宋" w:cs="仿宋"/>
          <w:sz w:val="28"/>
          <w:szCs w:val="28"/>
        </w:rPr>
        <w:t>。全面落实“双减”政策，精准破解义务教育阶段学生及家长课业压力和校外培训负担。全区小学、初中学业监测各类数据全市领先；全区</w:t>
      </w:r>
      <w:r>
        <w:rPr>
          <w:rFonts w:hint="eastAsia" w:ascii="仿宋" w:hAnsi="仿宋" w:eastAsia="仿宋" w:cs="仿宋"/>
          <w:bCs/>
          <w:sz w:val="28"/>
          <w:szCs w:val="28"/>
        </w:rPr>
        <w:t>教育发展和学生发展总体水平位列</w:t>
      </w:r>
      <w:r>
        <w:rPr>
          <w:rFonts w:hint="eastAsia" w:ascii="仿宋" w:hAnsi="仿宋" w:eastAsia="仿宋" w:cs="仿宋"/>
          <w:sz w:val="28"/>
          <w:szCs w:val="28"/>
        </w:rPr>
        <w:t>全市第一、全省前列。</w:t>
      </w:r>
    </w:p>
    <w:p>
      <w:pPr>
        <w:widowControl w:val="0"/>
        <w:spacing w:after="60" w:line="360" w:lineRule="auto"/>
        <w:ind w:firstLine="562" w:firstLineChars="200"/>
        <w:rPr>
          <w:rFonts w:ascii="仿宋" w:hAnsi="仿宋" w:eastAsia="仿宋" w:cs="仿宋"/>
          <w:bCs/>
          <w:sz w:val="28"/>
          <w:szCs w:val="28"/>
        </w:rPr>
      </w:pPr>
      <w:r>
        <w:rPr>
          <w:rFonts w:hint="eastAsia" w:ascii="仿宋" w:hAnsi="仿宋" w:eastAsia="仿宋" w:cs="仿宋"/>
          <w:b/>
          <w:sz w:val="28"/>
          <w:szCs w:val="28"/>
        </w:rPr>
        <w:t>——未来教育打造新标杆。</w:t>
      </w:r>
      <w:r>
        <w:rPr>
          <w:rFonts w:hint="eastAsia" w:ascii="仿宋" w:hAnsi="仿宋" w:eastAsia="仿宋" w:cs="仿宋"/>
          <w:bCs/>
          <w:sz w:val="28"/>
          <w:szCs w:val="28"/>
        </w:rPr>
        <w:t>高标准推进“未来学校”建设，“未来学生”培育，“未来课堂”变革和“未来教师”培养。到2022年，争取创成市级“未来教育”创新区，培育市级“未来教育”窗口学校5-7所；到2025年，培育市级“未来教育”窗口学校15所以上，“未来教育”窗口形象在全省乃至全国形成标杆效应。</w:t>
      </w:r>
    </w:p>
    <w:p>
      <w:pPr>
        <w:pStyle w:val="2"/>
        <w:spacing w:after="60" w:line="360" w:lineRule="auto"/>
        <w:rPr>
          <w:rFonts w:ascii="仿宋" w:hAnsi="仿宋" w:eastAsia="仿宋" w:cs="仿宋"/>
          <w:bCs/>
          <w:szCs w:val="28"/>
        </w:rPr>
      </w:pPr>
      <w:r>
        <w:rPr>
          <w:rFonts w:hint="eastAsia" w:ascii="仿宋" w:hAnsi="仿宋" w:eastAsia="仿宋" w:cs="仿宋"/>
          <w:b/>
          <w:szCs w:val="28"/>
        </w:rPr>
        <w:t>——高</w:t>
      </w:r>
      <w:r>
        <w:rPr>
          <w:rFonts w:ascii="仿宋" w:hAnsi="仿宋" w:eastAsia="仿宋" w:cs="仿宋"/>
          <w:b/>
          <w:szCs w:val="28"/>
        </w:rPr>
        <w:t>效能</w:t>
      </w:r>
      <w:r>
        <w:rPr>
          <w:rFonts w:hint="eastAsia" w:ascii="仿宋" w:hAnsi="仿宋" w:eastAsia="仿宋" w:cs="仿宋"/>
          <w:b/>
          <w:szCs w:val="28"/>
        </w:rPr>
        <w:t>治理树立新典范。</w:t>
      </w:r>
      <w:r>
        <w:rPr>
          <w:rFonts w:hint="eastAsia" w:ascii="仿宋" w:hAnsi="仿宋" w:eastAsia="仿宋" w:cs="仿宋"/>
          <w:bCs/>
          <w:szCs w:val="28"/>
        </w:rPr>
        <w:t>持续提升教育治理现代化水平，构建与“未来教育”相匹配的教育治理体系。统筹推进依法治教、依法治校，形成政府依法宏观管理、学校依法自主办学、社会依法有序参与的教育治理新格局。深化教育“管办评”分离、“放管服”结合，建立与现代教育治理相匹配的服务型管理机制。率先在全市建成教育数字大脑，实现教育公共服务效能大提升。</w:t>
      </w:r>
    </w:p>
    <w:p>
      <w:pPr>
        <w:pStyle w:val="2"/>
        <w:spacing w:after="60" w:line="360" w:lineRule="auto"/>
        <w:rPr>
          <w:rFonts w:ascii="仿宋" w:hAnsi="仿宋" w:eastAsia="仿宋" w:cs="仿宋"/>
          <w:bCs/>
          <w:szCs w:val="28"/>
        </w:rPr>
      </w:pPr>
      <w:r>
        <w:rPr>
          <w:rFonts w:hint="eastAsia" w:ascii="仿宋" w:hAnsi="仿宋" w:eastAsia="仿宋" w:cs="仿宋"/>
          <w:b/>
          <w:bCs/>
          <w:szCs w:val="28"/>
        </w:rPr>
        <w:t>——高规格开放构筑新格局</w:t>
      </w:r>
      <w:r>
        <w:rPr>
          <w:rFonts w:hint="eastAsia" w:ascii="仿宋" w:hAnsi="仿宋" w:eastAsia="仿宋" w:cs="仿宋"/>
          <w:bCs/>
          <w:szCs w:val="28"/>
        </w:rPr>
        <w:t>。建立“全球视野”下的教育合作机制，引入优质教育资源，有序推进友好学校缔结。拓展国际化办学新局面，加强国际理解教育，</w:t>
      </w:r>
      <w:r>
        <w:rPr>
          <w:rFonts w:ascii="仿宋" w:hAnsi="仿宋" w:eastAsia="仿宋" w:cs="仿宋"/>
          <w:bCs/>
          <w:szCs w:val="28"/>
        </w:rPr>
        <w:t>讲好温州故事</w:t>
      </w:r>
      <w:r>
        <w:rPr>
          <w:rFonts w:hint="eastAsia" w:ascii="仿宋" w:hAnsi="仿宋" w:eastAsia="仿宋" w:cs="仿宋"/>
          <w:bCs/>
          <w:szCs w:val="28"/>
        </w:rPr>
        <w:t>，培养一批适应教育国际化需要的管理干部和教师。到2025年</w:t>
      </w:r>
      <w:r>
        <w:rPr>
          <w:rFonts w:ascii="仿宋" w:hAnsi="仿宋" w:eastAsia="仿宋" w:cs="仿宋"/>
          <w:bCs/>
          <w:szCs w:val="28"/>
        </w:rPr>
        <w:t>，</w:t>
      </w:r>
      <w:r>
        <w:rPr>
          <w:rFonts w:hint="eastAsia" w:ascii="仿宋" w:hAnsi="仿宋" w:eastAsia="仿宋" w:cs="仿宋"/>
          <w:bCs/>
          <w:szCs w:val="28"/>
        </w:rPr>
        <w:t>国内外合作办学及友好结对学校（幼儿园）比例达到80%以上，高水平开放</w:t>
      </w:r>
      <w:r>
        <w:rPr>
          <w:rFonts w:ascii="仿宋" w:hAnsi="仿宋" w:eastAsia="仿宋" w:cs="仿宋"/>
          <w:bCs/>
          <w:szCs w:val="28"/>
        </w:rPr>
        <w:t>教育</w:t>
      </w:r>
      <w:r>
        <w:rPr>
          <w:rFonts w:hint="eastAsia" w:ascii="仿宋" w:hAnsi="仿宋" w:eastAsia="仿宋" w:cs="仿宋"/>
          <w:bCs/>
          <w:szCs w:val="28"/>
        </w:rPr>
        <w:t>格局基本形成。</w:t>
      </w:r>
    </w:p>
    <w:p>
      <w:pPr>
        <w:widowControl w:val="0"/>
        <w:spacing w:after="60" w:line="360" w:lineRule="auto"/>
        <w:jc w:val="center"/>
        <w:rPr>
          <w:rFonts w:ascii="宋体" w:hAnsi="宋体" w:eastAsia="宋体" w:cs="宋体"/>
          <w:b/>
          <w:bCs/>
          <w:spacing w:val="-4"/>
          <w:sz w:val="24"/>
          <w:szCs w:val="24"/>
        </w:rPr>
      </w:pPr>
      <w:r>
        <w:rPr>
          <w:rFonts w:hint="eastAsia" w:ascii="宋体" w:hAnsi="宋体" w:eastAsia="宋体" w:cs="宋体"/>
          <w:b/>
          <w:bCs/>
          <w:spacing w:val="-4"/>
          <w:sz w:val="24"/>
          <w:szCs w:val="24"/>
        </w:rPr>
        <w:t>表</w:t>
      </w:r>
      <w:r>
        <w:rPr>
          <w:rFonts w:ascii="宋体" w:hAnsi="宋体" w:eastAsia="宋体" w:cs="宋体"/>
          <w:b/>
          <w:bCs/>
          <w:spacing w:val="-4"/>
          <w:sz w:val="24"/>
          <w:szCs w:val="24"/>
        </w:rPr>
        <w:t>2.1鹿城区教育事业“十四五”主要预期目标</w:t>
      </w:r>
    </w:p>
    <w:tbl>
      <w:tblPr>
        <w:tblStyle w:val="15"/>
        <w:tblW w:w="7311"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2835"/>
        <w:gridCol w:w="30"/>
        <w:gridCol w:w="963"/>
        <w:gridCol w:w="1134"/>
        <w:gridCol w:w="1349"/>
        <w:gridCol w:w="1000"/>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828" w:type="dxa"/>
            <w:gridSpan w:val="3"/>
            <w:tcBorders>
              <w:top w:val="single" w:color="auto" w:sz="4" w:space="0"/>
              <w:left w:val="single" w:color="auto" w:sz="4" w:space="0"/>
              <w:bottom w:val="single" w:color="auto" w:sz="4" w:space="0"/>
              <w:right w:val="single" w:color="auto" w:sz="4" w:space="0"/>
            </w:tcBorders>
            <w:vAlign w:val="center"/>
          </w:tcPr>
          <w:p>
            <w:pPr>
              <w:widowControl w:val="0"/>
              <w:spacing w:after="60"/>
              <w:jc w:val="center"/>
              <w:rPr>
                <w:rFonts w:ascii="黑体" w:hAnsi="宋体" w:eastAsia="黑体"/>
                <w:spacing w:val="-4"/>
                <w:szCs w:val="21"/>
              </w:rPr>
            </w:pPr>
            <w:r>
              <w:rPr>
                <w:rFonts w:hint="eastAsia" w:ascii="黑体" w:hAnsi="宋体" w:eastAsia="黑体" w:cs="仿宋_GB2312"/>
                <w:spacing w:val="-4"/>
                <w:szCs w:val="21"/>
              </w:rPr>
              <w:t>指标</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val="0"/>
              <w:spacing w:after="60"/>
              <w:jc w:val="center"/>
              <w:rPr>
                <w:rFonts w:ascii="黑体" w:hAnsi="宋体" w:eastAsia="黑体"/>
                <w:spacing w:val="-4"/>
                <w:szCs w:val="21"/>
              </w:rPr>
            </w:pPr>
            <w:r>
              <w:rPr>
                <w:rFonts w:hint="eastAsia" w:ascii="黑体" w:hAnsi="宋体" w:eastAsia="黑体" w:cs="仿宋_GB2312"/>
                <w:spacing w:val="-4"/>
                <w:szCs w:val="21"/>
              </w:rPr>
              <w:t>单位</w:t>
            </w:r>
          </w:p>
        </w:tc>
        <w:tc>
          <w:tcPr>
            <w:tcW w:w="1349" w:type="dxa"/>
            <w:tcBorders>
              <w:top w:val="single" w:color="auto" w:sz="4" w:space="0"/>
              <w:left w:val="single" w:color="auto" w:sz="4" w:space="0"/>
              <w:bottom w:val="single" w:color="auto" w:sz="4" w:space="0"/>
              <w:right w:val="single" w:color="auto" w:sz="4" w:space="0"/>
            </w:tcBorders>
            <w:vAlign w:val="center"/>
          </w:tcPr>
          <w:p>
            <w:pPr>
              <w:widowControl w:val="0"/>
              <w:spacing w:after="60"/>
              <w:jc w:val="center"/>
              <w:rPr>
                <w:rFonts w:ascii="黑体" w:hAnsi="宋体" w:eastAsia="黑体"/>
                <w:spacing w:val="-4"/>
                <w:szCs w:val="21"/>
              </w:rPr>
            </w:pPr>
            <w:r>
              <w:rPr>
                <w:rFonts w:hint="eastAsia" w:ascii="黑体" w:hAnsi="宋体" w:eastAsia="黑体" w:cs="Arial"/>
                <w:spacing w:val="-4"/>
                <w:szCs w:val="21"/>
              </w:rPr>
              <w:t>20</w:t>
            </w:r>
            <w:r>
              <w:rPr>
                <w:rFonts w:ascii="黑体" w:hAnsi="宋体" w:eastAsia="黑体" w:cs="Arial"/>
                <w:spacing w:val="-4"/>
                <w:szCs w:val="21"/>
              </w:rPr>
              <w:t>20</w:t>
            </w:r>
            <w:r>
              <w:rPr>
                <w:rFonts w:hint="eastAsia" w:ascii="黑体" w:hAnsi="宋体" w:eastAsia="黑体" w:cs="仿宋_GB2312"/>
                <w:spacing w:val="-4"/>
                <w:szCs w:val="21"/>
              </w:rPr>
              <w:t>年</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val="0"/>
              <w:spacing w:after="60"/>
              <w:jc w:val="center"/>
              <w:rPr>
                <w:rFonts w:ascii="黑体" w:hAnsi="宋体" w:eastAsia="黑体"/>
                <w:spacing w:val="-4"/>
                <w:szCs w:val="21"/>
              </w:rPr>
            </w:pPr>
            <w:r>
              <w:rPr>
                <w:rFonts w:hint="eastAsia" w:ascii="黑体" w:hAnsi="宋体" w:eastAsia="黑体"/>
                <w:spacing w:val="-4"/>
                <w:szCs w:val="21"/>
              </w:rPr>
              <w:t>2025年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828" w:type="dxa"/>
            <w:gridSpan w:val="3"/>
            <w:tcBorders>
              <w:top w:val="single" w:color="auto" w:sz="4" w:space="0"/>
              <w:left w:val="single" w:color="auto" w:sz="4" w:space="0"/>
              <w:bottom w:val="single" w:color="auto" w:sz="4" w:space="0"/>
              <w:right w:val="single" w:color="auto" w:sz="4" w:space="0"/>
            </w:tcBorders>
            <w:vAlign w:val="center"/>
          </w:tcPr>
          <w:p>
            <w:pPr>
              <w:widowControl w:val="0"/>
              <w:spacing w:after="60"/>
              <w:rPr>
                <w:rFonts w:ascii="黑体" w:hAnsi="宋体" w:eastAsia="黑体"/>
                <w:bCs/>
                <w:spacing w:val="-4"/>
                <w:szCs w:val="21"/>
              </w:rPr>
            </w:pPr>
            <w:r>
              <w:rPr>
                <w:rFonts w:hint="eastAsia" w:ascii="黑体" w:hAnsi="宋体" w:eastAsia="黑体" w:cs="仿宋_GB2312"/>
                <w:bCs/>
                <w:spacing w:val="-4"/>
                <w:szCs w:val="21"/>
              </w:rPr>
              <w:t>学前教育</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val="0"/>
              <w:spacing w:after="60"/>
              <w:ind w:firstLine="424" w:firstLineChars="200"/>
              <w:rPr>
                <w:rFonts w:ascii="黑体" w:hAnsi="宋体" w:eastAsia="黑体"/>
                <w:spacing w:val="-4"/>
                <w:szCs w:val="21"/>
              </w:rPr>
            </w:pPr>
          </w:p>
        </w:tc>
        <w:tc>
          <w:tcPr>
            <w:tcW w:w="1349" w:type="dxa"/>
            <w:tcBorders>
              <w:top w:val="single" w:color="auto" w:sz="4" w:space="0"/>
              <w:left w:val="single" w:color="auto" w:sz="4" w:space="0"/>
              <w:bottom w:val="single" w:color="auto" w:sz="4" w:space="0"/>
              <w:right w:val="single" w:color="auto" w:sz="4" w:space="0"/>
            </w:tcBorders>
            <w:vAlign w:val="center"/>
          </w:tcPr>
          <w:p>
            <w:pPr>
              <w:widowControl w:val="0"/>
              <w:spacing w:after="60"/>
              <w:ind w:firstLine="424" w:firstLineChars="200"/>
              <w:jc w:val="center"/>
              <w:rPr>
                <w:rFonts w:ascii="黑体" w:hAnsi="宋体" w:eastAsia="黑体"/>
                <w:spacing w:val="-4"/>
                <w:szCs w:val="21"/>
              </w:rPr>
            </w:pPr>
          </w:p>
        </w:tc>
        <w:tc>
          <w:tcPr>
            <w:tcW w:w="1000" w:type="dxa"/>
            <w:tcBorders>
              <w:top w:val="single" w:color="auto" w:sz="4" w:space="0"/>
              <w:left w:val="single" w:color="auto" w:sz="4" w:space="0"/>
              <w:bottom w:val="single" w:color="auto" w:sz="4" w:space="0"/>
              <w:right w:val="single" w:color="auto" w:sz="4" w:space="0"/>
            </w:tcBorders>
            <w:vAlign w:val="center"/>
          </w:tcPr>
          <w:p>
            <w:pPr>
              <w:widowControl w:val="0"/>
              <w:spacing w:after="60"/>
              <w:ind w:firstLine="424" w:firstLineChars="200"/>
              <w:rPr>
                <w:rFonts w:ascii="黑体" w:hAnsi="宋体" w:eastAsia="黑体"/>
                <w:spacing w:val="-4"/>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828" w:type="dxa"/>
            <w:gridSpan w:val="3"/>
            <w:tcBorders>
              <w:top w:val="single" w:color="auto" w:sz="4" w:space="0"/>
              <w:left w:val="single" w:color="auto" w:sz="4" w:space="0"/>
              <w:bottom w:val="single" w:color="auto" w:sz="4" w:space="0"/>
              <w:right w:val="single" w:color="auto" w:sz="4" w:space="0"/>
            </w:tcBorders>
            <w:vAlign w:val="center"/>
          </w:tcPr>
          <w:p>
            <w:pPr>
              <w:widowControl w:val="0"/>
              <w:spacing w:after="60"/>
              <w:ind w:firstLine="424" w:firstLineChars="200"/>
              <w:rPr>
                <w:rFonts w:ascii="宋体" w:hAnsi="宋体" w:eastAsia="宋体"/>
                <w:spacing w:val="-4"/>
                <w:szCs w:val="21"/>
              </w:rPr>
            </w:pPr>
            <w:r>
              <w:rPr>
                <w:rFonts w:hint="eastAsia" w:ascii="宋体" w:hAnsi="宋体" w:eastAsia="宋体" w:cs="仿宋_GB2312"/>
                <w:spacing w:val="-4"/>
                <w:szCs w:val="21"/>
              </w:rPr>
              <w:t>学前三年入园率</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val="0"/>
              <w:spacing w:after="60"/>
              <w:ind w:firstLine="424" w:firstLineChars="200"/>
              <w:rPr>
                <w:rFonts w:ascii="宋体" w:hAnsi="宋体" w:eastAsia="宋体" w:cs="Arial"/>
                <w:spacing w:val="-4"/>
                <w:szCs w:val="21"/>
              </w:rPr>
            </w:pPr>
            <w:r>
              <w:rPr>
                <w:rFonts w:hint="eastAsia" w:ascii="宋体" w:hAnsi="宋体" w:eastAsia="宋体" w:cs="Arial"/>
                <w:spacing w:val="-4"/>
                <w:szCs w:val="21"/>
              </w:rPr>
              <w:t>%</w:t>
            </w:r>
          </w:p>
        </w:tc>
        <w:tc>
          <w:tcPr>
            <w:tcW w:w="1349" w:type="dxa"/>
            <w:tcBorders>
              <w:top w:val="single" w:color="auto" w:sz="4" w:space="0"/>
              <w:left w:val="single" w:color="auto" w:sz="4" w:space="0"/>
              <w:bottom w:val="single" w:color="auto" w:sz="4" w:space="0"/>
              <w:right w:val="single" w:color="auto" w:sz="4" w:space="0"/>
            </w:tcBorders>
            <w:vAlign w:val="center"/>
          </w:tcPr>
          <w:p>
            <w:pPr>
              <w:widowControl w:val="0"/>
              <w:spacing w:after="60"/>
              <w:jc w:val="center"/>
              <w:rPr>
                <w:rFonts w:ascii="宋体" w:hAnsi="宋体" w:eastAsia="宋体" w:cs="Arial"/>
                <w:spacing w:val="-4"/>
                <w:szCs w:val="21"/>
              </w:rPr>
            </w:pPr>
            <w:r>
              <w:rPr>
                <w:rFonts w:hint="eastAsia" w:ascii="宋体" w:hAnsi="宋体" w:eastAsia="宋体" w:cs="Arial"/>
                <w:spacing w:val="-4"/>
                <w:szCs w:val="21"/>
              </w:rPr>
              <w:t>99.8</w:t>
            </w:r>
            <w:r>
              <w:rPr>
                <w:rFonts w:ascii="宋体" w:hAnsi="宋体" w:eastAsia="宋体" w:cs="Arial"/>
                <w:spacing w:val="-4"/>
                <w:szCs w:val="21"/>
              </w:rPr>
              <w:t>2</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val="0"/>
              <w:spacing w:after="60"/>
              <w:jc w:val="center"/>
              <w:rPr>
                <w:rFonts w:ascii="宋体" w:hAnsi="宋体" w:eastAsia="宋体" w:cs="Arial"/>
                <w:spacing w:val="-4"/>
                <w:szCs w:val="21"/>
              </w:rPr>
            </w:pPr>
            <w:r>
              <w:rPr>
                <w:rFonts w:hint="eastAsia" w:ascii="宋体" w:hAnsi="宋体" w:eastAsia="宋体" w:cs="Arial"/>
                <w:spacing w:val="-4"/>
                <w:szCs w:val="21"/>
              </w:rPr>
              <w:t>100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828" w:type="dxa"/>
            <w:gridSpan w:val="3"/>
            <w:tcBorders>
              <w:top w:val="single" w:color="auto" w:sz="4" w:space="0"/>
              <w:left w:val="single" w:color="auto" w:sz="4" w:space="0"/>
              <w:bottom w:val="single" w:color="auto" w:sz="4" w:space="0"/>
              <w:right w:val="single" w:color="auto" w:sz="4" w:space="0"/>
            </w:tcBorders>
            <w:vAlign w:val="center"/>
          </w:tcPr>
          <w:p>
            <w:pPr>
              <w:widowControl w:val="0"/>
              <w:spacing w:after="60"/>
              <w:rPr>
                <w:rFonts w:ascii="黑体" w:hAnsi="宋体" w:eastAsia="黑体"/>
                <w:bCs/>
                <w:spacing w:val="-4"/>
                <w:szCs w:val="21"/>
              </w:rPr>
            </w:pPr>
            <w:r>
              <w:rPr>
                <w:rFonts w:hint="eastAsia" w:ascii="黑体" w:hAnsi="宋体" w:eastAsia="黑体" w:cs="仿宋_GB2312"/>
                <w:bCs/>
                <w:spacing w:val="-4"/>
                <w:szCs w:val="21"/>
              </w:rPr>
              <w:t>九年义务教育</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val="0"/>
              <w:spacing w:after="60"/>
              <w:ind w:firstLine="424" w:firstLineChars="200"/>
              <w:rPr>
                <w:rFonts w:ascii="黑体" w:hAnsi="宋体" w:eastAsia="黑体"/>
                <w:spacing w:val="-4"/>
                <w:szCs w:val="21"/>
              </w:rPr>
            </w:pPr>
          </w:p>
        </w:tc>
        <w:tc>
          <w:tcPr>
            <w:tcW w:w="1349" w:type="dxa"/>
            <w:tcBorders>
              <w:top w:val="single" w:color="auto" w:sz="4" w:space="0"/>
              <w:left w:val="single" w:color="auto" w:sz="4" w:space="0"/>
              <w:bottom w:val="single" w:color="auto" w:sz="4" w:space="0"/>
              <w:right w:val="single" w:color="auto" w:sz="4" w:space="0"/>
            </w:tcBorders>
            <w:vAlign w:val="center"/>
          </w:tcPr>
          <w:p>
            <w:pPr>
              <w:widowControl w:val="0"/>
              <w:spacing w:after="60"/>
              <w:ind w:firstLine="424" w:firstLineChars="200"/>
              <w:jc w:val="center"/>
              <w:rPr>
                <w:rFonts w:ascii="黑体" w:hAnsi="宋体" w:eastAsia="黑体"/>
                <w:spacing w:val="-4"/>
                <w:szCs w:val="21"/>
              </w:rPr>
            </w:pPr>
          </w:p>
        </w:tc>
        <w:tc>
          <w:tcPr>
            <w:tcW w:w="1000" w:type="dxa"/>
            <w:tcBorders>
              <w:top w:val="single" w:color="auto" w:sz="4" w:space="0"/>
              <w:left w:val="single" w:color="auto" w:sz="4" w:space="0"/>
              <w:bottom w:val="single" w:color="auto" w:sz="4" w:space="0"/>
              <w:right w:val="single" w:color="auto" w:sz="4" w:space="0"/>
            </w:tcBorders>
            <w:vAlign w:val="center"/>
          </w:tcPr>
          <w:p>
            <w:pPr>
              <w:widowControl w:val="0"/>
              <w:spacing w:after="60"/>
              <w:ind w:firstLine="424" w:firstLineChars="200"/>
              <w:jc w:val="center"/>
              <w:rPr>
                <w:rFonts w:ascii="黑体" w:hAnsi="宋体" w:eastAsia="黑体"/>
                <w:spacing w:val="-4"/>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828" w:type="dxa"/>
            <w:gridSpan w:val="3"/>
            <w:tcBorders>
              <w:top w:val="single" w:color="auto" w:sz="4" w:space="0"/>
              <w:left w:val="single" w:color="auto" w:sz="4" w:space="0"/>
              <w:bottom w:val="single" w:color="auto" w:sz="4" w:space="0"/>
              <w:right w:val="single" w:color="auto" w:sz="4" w:space="0"/>
            </w:tcBorders>
            <w:vAlign w:val="center"/>
          </w:tcPr>
          <w:p>
            <w:pPr>
              <w:widowControl w:val="0"/>
              <w:spacing w:after="60"/>
              <w:ind w:firstLine="424" w:firstLineChars="200"/>
              <w:rPr>
                <w:rFonts w:ascii="宋体" w:hAnsi="宋体" w:eastAsia="宋体"/>
                <w:spacing w:val="-4"/>
                <w:szCs w:val="21"/>
              </w:rPr>
            </w:pPr>
            <w:r>
              <w:rPr>
                <w:rFonts w:hint="eastAsia" w:ascii="宋体" w:hAnsi="宋体" w:eastAsia="宋体" w:cs="仿宋_GB2312"/>
                <w:spacing w:val="-4"/>
                <w:szCs w:val="21"/>
              </w:rPr>
              <w:t>在校生</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val="0"/>
              <w:spacing w:after="60"/>
              <w:ind w:firstLine="212" w:firstLineChars="100"/>
              <w:rPr>
                <w:rFonts w:ascii="宋体" w:hAnsi="宋体" w:eastAsia="宋体"/>
                <w:spacing w:val="-4"/>
                <w:szCs w:val="21"/>
              </w:rPr>
            </w:pPr>
            <w:r>
              <w:rPr>
                <w:rFonts w:hint="eastAsia" w:ascii="宋体" w:hAnsi="宋体" w:eastAsia="宋体" w:cs="仿宋_GB2312"/>
                <w:spacing w:val="-4"/>
                <w:szCs w:val="21"/>
              </w:rPr>
              <w:t>万人</w:t>
            </w:r>
          </w:p>
        </w:tc>
        <w:tc>
          <w:tcPr>
            <w:tcW w:w="1349" w:type="dxa"/>
            <w:tcBorders>
              <w:top w:val="single" w:color="auto" w:sz="4" w:space="0"/>
              <w:left w:val="single" w:color="auto" w:sz="4" w:space="0"/>
              <w:bottom w:val="single" w:color="auto" w:sz="4" w:space="0"/>
              <w:right w:val="single" w:color="auto" w:sz="4" w:space="0"/>
            </w:tcBorders>
            <w:vAlign w:val="center"/>
          </w:tcPr>
          <w:p>
            <w:pPr>
              <w:widowControl w:val="0"/>
              <w:spacing w:after="60"/>
              <w:jc w:val="center"/>
              <w:rPr>
                <w:rFonts w:ascii="宋体" w:hAnsi="宋体" w:eastAsia="宋体" w:cs="Arial"/>
                <w:spacing w:val="-4"/>
                <w:szCs w:val="21"/>
              </w:rPr>
            </w:pPr>
            <w:r>
              <w:rPr>
                <w:rFonts w:hint="eastAsia" w:ascii="宋体" w:hAnsi="宋体" w:eastAsia="宋体" w:cs="Arial"/>
                <w:spacing w:val="-4"/>
                <w:szCs w:val="21"/>
              </w:rPr>
              <w:t>9.</w:t>
            </w:r>
            <w:r>
              <w:rPr>
                <w:rFonts w:ascii="宋体" w:hAnsi="宋体" w:eastAsia="宋体" w:cs="Arial"/>
                <w:spacing w:val="-4"/>
                <w:szCs w:val="21"/>
              </w:rPr>
              <w:t>5</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val="0"/>
              <w:spacing w:after="60"/>
              <w:jc w:val="center"/>
              <w:rPr>
                <w:rFonts w:ascii="宋体" w:hAnsi="宋体" w:eastAsia="宋体" w:cs="Arial"/>
                <w:spacing w:val="-4"/>
                <w:szCs w:val="21"/>
              </w:rPr>
            </w:pPr>
            <w:r>
              <w:rPr>
                <w:rFonts w:hint="eastAsia" w:ascii="宋体" w:hAnsi="宋体" w:eastAsia="宋体" w:cs="Arial"/>
                <w:spacing w:val="-4"/>
                <w:szCs w:val="21"/>
              </w:rPr>
              <w:t>9.8</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828" w:type="dxa"/>
            <w:gridSpan w:val="3"/>
            <w:tcBorders>
              <w:top w:val="single" w:color="auto" w:sz="4" w:space="0"/>
              <w:left w:val="single" w:color="auto" w:sz="4" w:space="0"/>
              <w:bottom w:val="single" w:color="auto" w:sz="4" w:space="0"/>
              <w:right w:val="single" w:color="auto" w:sz="4" w:space="0"/>
            </w:tcBorders>
            <w:vAlign w:val="center"/>
          </w:tcPr>
          <w:p>
            <w:pPr>
              <w:widowControl w:val="0"/>
              <w:spacing w:after="60"/>
              <w:ind w:firstLine="424" w:firstLineChars="200"/>
              <w:rPr>
                <w:rFonts w:ascii="宋体" w:hAnsi="宋体" w:eastAsia="宋体"/>
                <w:spacing w:val="-4"/>
                <w:szCs w:val="21"/>
              </w:rPr>
            </w:pPr>
            <w:r>
              <w:rPr>
                <w:rFonts w:hint="eastAsia" w:ascii="宋体" w:hAnsi="宋体" w:eastAsia="宋体" w:cs="仿宋_GB2312"/>
                <w:spacing w:val="-4"/>
                <w:szCs w:val="21"/>
              </w:rPr>
              <w:t>巩固率</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val="0"/>
              <w:spacing w:after="60"/>
              <w:ind w:firstLine="424" w:firstLineChars="200"/>
              <w:rPr>
                <w:rFonts w:ascii="宋体" w:hAnsi="宋体" w:eastAsia="宋体" w:cs="Arial"/>
                <w:spacing w:val="-4"/>
                <w:szCs w:val="21"/>
              </w:rPr>
            </w:pPr>
            <w:r>
              <w:rPr>
                <w:rFonts w:hint="eastAsia" w:ascii="宋体" w:hAnsi="宋体" w:eastAsia="宋体" w:cs="Arial"/>
                <w:spacing w:val="-4"/>
                <w:szCs w:val="21"/>
              </w:rPr>
              <w:t>%</w:t>
            </w:r>
          </w:p>
        </w:tc>
        <w:tc>
          <w:tcPr>
            <w:tcW w:w="1349" w:type="dxa"/>
            <w:tcBorders>
              <w:top w:val="single" w:color="auto" w:sz="4" w:space="0"/>
              <w:left w:val="single" w:color="auto" w:sz="4" w:space="0"/>
              <w:bottom w:val="single" w:color="auto" w:sz="4" w:space="0"/>
              <w:right w:val="single" w:color="auto" w:sz="4" w:space="0"/>
            </w:tcBorders>
            <w:vAlign w:val="center"/>
          </w:tcPr>
          <w:p>
            <w:pPr>
              <w:widowControl w:val="0"/>
              <w:spacing w:after="60"/>
              <w:jc w:val="center"/>
              <w:rPr>
                <w:rFonts w:ascii="宋体" w:hAnsi="宋体" w:eastAsia="宋体" w:cs="Arial"/>
                <w:spacing w:val="-4"/>
                <w:szCs w:val="21"/>
              </w:rPr>
            </w:pPr>
            <w:r>
              <w:rPr>
                <w:rFonts w:hint="eastAsia" w:ascii="宋体" w:hAnsi="宋体" w:eastAsia="宋体" w:cs="Arial"/>
                <w:spacing w:val="-4"/>
                <w:szCs w:val="21"/>
              </w:rPr>
              <w:t>100</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val="0"/>
              <w:spacing w:after="60"/>
              <w:jc w:val="center"/>
              <w:rPr>
                <w:rFonts w:ascii="宋体" w:hAnsi="宋体" w:eastAsia="宋体" w:cs="Arial"/>
                <w:spacing w:val="-4"/>
                <w:szCs w:val="21"/>
              </w:rPr>
            </w:pPr>
            <w:r>
              <w:rPr>
                <w:rFonts w:hint="eastAsia" w:ascii="宋体" w:hAnsi="宋体" w:eastAsia="宋体" w:cs="Arial"/>
                <w:spacing w:val="-4"/>
                <w:szCs w:val="21"/>
              </w:rPr>
              <w:t>100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828" w:type="dxa"/>
            <w:gridSpan w:val="3"/>
            <w:tcBorders>
              <w:top w:val="single" w:color="auto" w:sz="4" w:space="0"/>
              <w:left w:val="single" w:color="auto" w:sz="4" w:space="0"/>
              <w:bottom w:val="single" w:color="auto" w:sz="4" w:space="0"/>
              <w:right w:val="single" w:color="auto" w:sz="4" w:space="0"/>
            </w:tcBorders>
            <w:vAlign w:val="center"/>
          </w:tcPr>
          <w:p>
            <w:pPr>
              <w:widowControl w:val="0"/>
              <w:spacing w:after="60"/>
              <w:ind w:firstLine="424" w:firstLineChars="200"/>
              <w:rPr>
                <w:rFonts w:ascii="宋体" w:hAnsi="宋体" w:eastAsia="宋体"/>
                <w:spacing w:val="-4"/>
                <w:szCs w:val="21"/>
              </w:rPr>
            </w:pPr>
            <w:r>
              <w:rPr>
                <w:rFonts w:hint="eastAsia" w:ascii="宋体" w:hAnsi="宋体" w:eastAsia="宋体" w:cs="仿宋_GB2312"/>
                <w:spacing w:val="-4"/>
                <w:szCs w:val="21"/>
              </w:rPr>
              <w:t>初升高率</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val="0"/>
              <w:spacing w:after="60"/>
              <w:ind w:firstLine="424" w:firstLineChars="200"/>
              <w:rPr>
                <w:rFonts w:ascii="宋体" w:hAnsi="宋体" w:eastAsia="宋体" w:cs="Arial"/>
                <w:spacing w:val="-4"/>
                <w:szCs w:val="21"/>
              </w:rPr>
            </w:pPr>
            <w:r>
              <w:rPr>
                <w:rFonts w:hint="eastAsia" w:ascii="宋体" w:hAnsi="宋体" w:eastAsia="宋体" w:cs="Arial"/>
                <w:spacing w:val="-4"/>
                <w:szCs w:val="21"/>
              </w:rPr>
              <w:t>%</w:t>
            </w:r>
          </w:p>
        </w:tc>
        <w:tc>
          <w:tcPr>
            <w:tcW w:w="1349" w:type="dxa"/>
            <w:tcBorders>
              <w:top w:val="single" w:color="auto" w:sz="4" w:space="0"/>
              <w:left w:val="single" w:color="auto" w:sz="4" w:space="0"/>
              <w:bottom w:val="single" w:color="auto" w:sz="4" w:space="0"/>
              <w:right w:val="single" w:color="auto" w:sz="4" w:space="0"/>
            </w:tcBorders>
            <w:vAlign w:val="center"/>
          </w:tcPr>
          <w:p>
            <w:pPr>
              <w:widowControl w:val="0"/>
              <w:spacing w:after="60"/>
              <w:jc w:val="center"/>
              <w:rPr>
                <w:rFonts w:ascii="宋体" w:hAnsi="宋体" w:eastAsia="宋体" w:cs="Arial"/>
                <w:spacing w:val="-4"/>
                <w:szCs w:val="21"/>
              </w:rPr>
            </w:pPr>
            <w:r>
              <w:rPr>
                <w:rFonts w:hint="eastAsia" w:ascii="宋体" w:hAnsi="宋体" w:eastAsia="宋体" w:cs="Arial"/>
                <w:spacing w:val="-4"/>
                <w:szCs w:val="21"/>
              </w:rPr>
              <w:t>9</w:t>
            </w:r>
            <w:r>
              <w:rPr>
                <w:rFonts w:ascii="宋体" w:hAnsi="宋体" w:eastAsia="宋体" w:cs="Arial"/>
                <w:spacing w:val="-4"/>
                <w:szCs w:val="21"/>
              </w:rPr>
              <w:t>6</w:t>
            </w:r>
            <w:r>
              <w:rPr>
                <w:rFonts w:hint="eastAsia" w:ascii="宋体" w:hAnsi="宋体" w:eastAsia="宋体" w:cs="Arial"/>
                <w:spacing w:val="-4"/>
                <w:szCs w:val="21"/>
              </w:rPr>
              <w:t>.</w:t>
            </w:r>
            <w:r>
              <w:rPr>
                <w:rFonts w:ascii="宋体" w:hAnsi="宋体" w:eastAsia="宋体" w:cs="Arial"/>
                <w:spacing w:val="-4"/>
                <w:szCs w:val="21"/>
              </w:rPr>
              <w:t>8</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val="0"/>
              <w:spacing w:after="60"/>
              <w:jc w:val="center"/>
              <w:rPr>
                <w:rFonts w:ascii="宋体" w:hAnsi="宋体" w:eastAsia="宋体" w:cs="Arial"/>
                <w:spacing w:val="-4"/>
                <w:szCs w:val="21"/>
              </w:rPr>
            </w:pPr>
            <w:r>
              <w:rPr>
                <w:rFonts w:hint="eastAsia" w:ascii="宋体" w:hAnsi="宋体" w:eastAsia="宋体" w:cs="Arial"/>
                <w:spacing w:val="-4"/>
                <w:szCs w:val="21"/>
              </w:rPr>
              <w:t>100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828" w:type="dxa"/>
            <w:gridSpan w:val="3"/>
            <w:tcBorders>
              <w:top w:val="single" w:color="auto" w:sz="4" w:space="0"/>
              <w:left w:val="single" w:color="auto" w:sz="4" w:space="0"/>
              <w:bottom w:val="single" w:color="auto" w:sz="4" w:space="0"/>
              <w:right w:val="single" w:color="auto" w:sz="4" w:space="0"/>
            </w:tcBorders>
            <w:vAlign w:val="center"/>
          </w:tcPr>
          <w:p>
            <w:pPr>
              <w:widowControl w:val="0"/>
              <w:spacing w:after="60"/>
              <w:ind w:firstLine="424" w:firstLineChars="200"/>
              <w:rPr>
                <w:rFonts w:ascii="宋体" w:hAnsi="宋体" w:eastAsia="宋体" w:cs="仿宋_GB2312"/>
                <w:spacing w:val="-4"/>
                <w:szCs w:val="21"/>
              </w:rPr>
            </w:pPr>
            <w:r>
              <w:rPr>
                <w:rFonts w:hint="eastAsia" w:ascii="宋体" w:hAnsi="宋体" w:eastAsia="宋体" w:cs="仿宋_GB2312"/>
                <w:spacing w:val="-4"/>
                <w:szCs w:val="21"/>
              </w:rPr>
              <w:t>残疾儿童义务教育入学率</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val="0"/>
              <w:spacing w:after="60"/>
              <w:ind w:firstLine="424" w:firstLineChars="200"/>
              <w:rPr>
                <w:rFonts w:ascii="宋体" w:hAnsi="宋体" w:eastAsia="宋体" w:cs="Arial"/>
                <w:spacing w:val="-4"/>
                <w:szCs w:val="21"/>
              </w:rPr>
            </w:pPr>
            <w:r>
              <w:rPr>
                <w:rFonts w:hint="eastAsia" w:ascii="宋体" w:hAnsi="宋体" w:eastAsia="宋体" w:cs="Arial"/>
                <w:spacing w:val="-4"/>
                <w:szCs w:val="21"/>
              </w:rPr>
              <w:t>%</w:t>
            </w:r>
          </w:p>
        </w:tc>
        <w:tc>
          <w:tcPr>
            <w:tcW w:w="1349" w:type="dxa"/>
            <w:tcBorders>
              <w:top w:val="single" w:color="auto" w:sz="4" w:space="0"/>
              <w:left w:val="single" w:color="auto" w:sz="4" w:space="0"/>
              <w:bottom w:val="single" w:color="auto" w:sz="4" w:space="0"/>
              <w:right w:val="single" w:color="auto" w:sz="4" w:space="0"/>
            </w:tcBorders>
            <w:vAlign w:val="center"/>
          </w:tcPr>
          <w:p>
            <w:pPr>
              <w:widowControl w:val="0"/>
              <w:spacing w:after="60"/>
              <w:jc w:val="center"/>
              <w:rPr>
                <w:rFonts w:ascii="宋体" w:hAnsi="宋体" w:eastAsia="宋体" w:cs="Arial"/>
                <w:spacing w:val="-4"/>
                <w:szCs w:val="21"/>
              </w:rPr>
            </w:pPr>
            <w:r>
              <w:rPr>
                <w:rFonts w:ascii="宋体" w:hAnsi="宋体" w:eastAsia="宋体" w:cs="Arial"/>
                <w:spacing w:val="-4"/>
                <w:szCs w:val="21"/>
              </w:rPr>
              <w:t>100</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val="0"/>
              <w:spacing w:after="60"/>
              <w:jc w:val="center"/>
              <w:rPr>
                <w:rFonts w:ascii="宋体" w:hAnsi="宋体" w:eastAsia="宋体" w:cs="Arial"/>
                <w:spacing w:val="-4"/>
                <w:szCs w:val="21"/>
              </w:rPr>
            </w:pPr>
            <w:r>
              <w:rPr>
                <w:rFonts w:hint="eastAsia" w:ascii="宋体" w:hAnsi="宋体" w:eastAsia="宋体" w:cs="Arial"/>
                <w:spacing w:val="-4"/>
                <w:szCs w:val="21"/>
              </w:rPr>
              <w:t>100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828" w:type="dxa"/>
            <w:gridSpan w:val="3"/>
            <w:tcBorders>
              <w:top w:val="single" w:color="auto" w:sz="4" w:space="0"/>
              <w:left w:val="single" w:color="auto" w:sz="4" w:space="0"/>
              <w:bottom w:val="single" w:color="auto" w:sz="4" w:space="0"/>
              <w:right w:val="single" w:color="auto" w:sz="4" w:space="0"/>
            </w:tcBorders>
            <w:vAlign w:val="center"/>
          </w:tcPr>
          <w:p>
            <w:pPr>
              <w:widowControl w:val="0"/>
              <w:spacing w:after="60"/>
              <w:ind w:firstLine="424" w:firstLineChars="200"/>
              <w:rPr>
                <w:rFonts w:ascii="宋体" w:hAnsi="宋体" w:eastAsia="宋体" w:cs="仿宋_GB2312"/>
                <w:spacing w:val="-4"/>
                <w:szCs w:val="21"/>
              </w:rPr>
            </w:pPr>
            <w:r>
              <w:rPr>
                <w:rFonts w:hint="eastAsia" w:ascii="宋体" w:hAnsi="宋体" w:eastAsia="宋体" w:cs="仿宋_GB2312"/>
                <w:spacing w:val="-4"/>
                <w:szCs w:val="21"/>
              </w:rPr>
              <w:t>外来务工人员随迁子女与户籍学生接受同等待遇的比例（</w:t>
            </w:r>
            <w:r>
              <w:rPr>
                <w:rFonts w:ascii="宋体" w:hAnsi="宋体" w:eastAsia="宋体" w:cs="仿宋_GB2312"/>
                <w:spacing w:val="-4"/>
                <w:szCs w:val="21"/>
              </w:rPr>
              <w:t>公办）</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val="0"/>
              <w:spacing w:after="60"/>
              <w:ind w:firstLine="424" w:firstLineChars="200"/>
              <w:rPr>
                <w:rFonts w:ascii="宋体" w:hAnsi="宋体" w:eastAsia="宋体" w:cs="Arial"/>
                <w:spacing w:val="-4"/>
                <w:szCs w:val="21"/>
              </w:rPr>
            </w:pPr>
            <w:r>
              <w:rPr>
                <w:rFonts w:hint="eastAsia" w:ascii="宋体" w:hAnsi="宋体" w:eastAsia="宋体" w:cs="Arial"/>
                <w:spacing w:val="-4"/>
                <w:szCs w:val="21"/>
              </w:rPr>
              <w:t>%</w:t>
            </w:r>
          </w:p>
        </w:tc>
        <w:tc>
          <w:tcPr>
            <w:tcW w:w="1349" w:type="dxa"/>
            <w:tcBorders>
              <w:top w:val="single" w:color="auto" w:sz="4" w:space="0"/>
              <w:left w:val="single" w:color="auto" w:sz="4" w:space="0"/>
              <w:bottom w:val="single" w:color="auto" w:sz="4" w:space="0"/>
              <w:right w:val="single" w:color="auto" w:sz="4" w:space="0"/>
            </w:tcBorders>
            <w:vAlign w:val="center"/>
          </w:tcPr>
          <w:p>
            <w:pPr>
              <w:widowControl w:val="0"/>
              <w:spacing w:after="60"/>
              <w:jc w:val="center"/>
              <w:rPr>
                <w:rFonts w:ascii="宋体" w:hAnsi="宋体" w:eastAsia="宋体" w:cs="Arial"/>
                <w:spacing w:val="-4"/>
                <w:szCs w:val="21"/>
              </w:rPr>
            </w:pPr>
            <w:r>
              <w:rPr>
                <w:rFonts w:ascii="宋体" w:hAnsi="宋体" w:eastAsia="宋体" w:cs="Arial"/>
                <w:spacing w:val="-4"/>
                <w:szCs w:val="21"/>
              </w:rPr>
              <w:t>5</w:t>
            </w:r>
            <w:r>
              <w:rPr>
                <w:rFonts w:hint="eastAsia" w:ascii="宋体" w:hAnsi="宋体" w:eastAsia="宋体" w:cs="Arial"/>
                <w:spacing w:val="-4"/>
                <w:szCs w:val="21"/>
              </w:rPr>
              <w:t>7.</w:t>
            </w:r>
            <w:r>
              <w:rPr>
                <w:rFonts w:ascii="宋体" w:hAnsi="宋体" w:eastAsia="宋体" w:cs="Arial"/>
                <w:spacing w:val="-4"/>
                <w:szCs w:val="21"/>
              </w:rPr>
              <w:t>8</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val="0"/>
              <w:spacing w:after="60"/>
              <w:jc w:val="center"/>
              <w:rPr>
                <w:rFonts w:ascii="宋体" w:hAnsi="宋体" w:eastAsia="宋体" w:cs="Arial"/>
                <w:spacing w:val="-4"/>
                <w:szCs w:val="21"/>
              </w:rPr>
            </w:pPr>
            <w:r>
              <w:rPr>
                <w:rFonts w:hint="eastAsia" w:ascii="宋体" w:hAnsi="宋体" w:eastAsia="宋体" w:cs="Arial"/>
                <w:spacing w:val="-4"/>
                <w:szCs w:val="21"/>
              </w:rPr>
              <w:t>75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55" w:hRule="atLeast"/>
          <w:jc w:val="center"/>
        </w:trPr>
        <w:tc>
          <w:tcPr>
            <w:tcW w:w="2835" w:type="dxa"/>
            <w:vMerge w:val="restart"/>
            <w:tcBorders>
              <w:top w:val="single" w:color="auto" w:sz="4" w:space="0"/>
              <w:left w:val="single" w:color="auto" w:sz="4" w:space="0"/>
              <w:bottom w:val="single" w:color="auto" w:sz="4" w:space="0"/>
              <w:right w:val="single" w:color="auto" w:sz="4" w:space="0"/>
            </w:tcBorders>
            <w:vAlign w:val="center"/>
          </w:tcPr>
          <w:p>
            <w:pPr>
              <w:widowControl w:val="0"/>
              <w:spacing w:after="60"/>
              <w:ind w:firstLine="424" w:firstLineChars="200"/>
              <w:rPr>
                <w:rFonts w:ascii="宋体" w:hAnsi="宋体" w:eastAsia="宋体" w:cs="仿宋_GB2312"/>
                <w:spacing w:val="-4"/>
                <w:szCs w:val="21"/>
              </w:rPr>
            </w:pPr>
            <w:r>
              <w:rPr>
                <w:rFonts w:hint="eastAsia" w:ascii="宋体" w:hAnsi="宋体" w:eastAsia="宋体" w:cs="仿宋_GB2312"/>
                <w:spacing w:val="-4"/>
                <w:szCs w:val="21"/>
              </w:rPr>
              <w:t>义务教育校际均衡</w:t>
            </w:r>
          </w:p>
          <w:p>
            <w:pPr>
              <w:widowControl w:val="0"/>
              <w:spacing w:after="60"/>
              <w:ind w:firstLine="742" w:firstLineChars="350"/>
              <w:rPr>
                <w:rFonts w:ascii="宋体" w:hAnsi="宋体" w:eastAsia="宋体" w:cs="仿宋_GB2312"/>
                <w:spacing w:val="-4"/>
                <w:szCs w:val="21"/>
              </w:rPr>
            </w:pPr>
            <w:r>
              <w:rPr>
                <w:rFonts w:hint="eastAsia" w:ascii="宋体" w:hAnsi="宋体" w:eastAsia="宋体" w:cs="仿宋_GB2312"/>
                <w:spacing w:val="-4"/>
                <w:szCs w:val="21"/>
              </w:rPr>
              <w:t>差异系数</w:t>
            </w:r>
          </w:p>
        </w:tc>
        <w:tc>
          <w:tcPr>
            <w:tcW w:w="993" w:type="dxa"/>
            <w:gridSpan w:val="2"/>
            <w:tcBorders>
              <w:top w:val="single" w:color="auto" w:sz="4" w:space="0"/>
              <w:left w:val="single" w:color="auto" w:sz="4" w:space="0"/>
              <w:bottom w:val="single" w:color="auto" w:sz="4" w:space="0"/>
              <w:right w:val="single" w:color="auto" w:sz="4" w:space="0"/>
            </w:tcBorders>
            <w:vAlign w:val="center"/>
          </w:tcPr>
          <w:p>
            <w:pPr>
              <w:widowControl w:val="0"/>
              <w:spacing w:after="60"/>
              <w:rPr>
                <w:rFonts w:ascii="宋体" w:hAnsi="宋体" w:eastAsia="宋体" w:cs="仿宋_GB2312"/>
                <w:spacing w:val="-4"/>
                <w:szCs w:val="21"/>
              </w:rPr>
            </w:pPr>
            <w:r>
              <w:rPr>
                <w:rFonts w:hint="eastAsia" w:ascii="宋体" w:hAnsi="宋体" w:eastAsia="宋体" w:cs="仿宋_GB2312"/>
                <w:spacing w:val="-4"/>
                <w:szCs w:val="21"/>
              </w:rPr>
              <w:t>小学</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val="0"/>
              <w:spacing w:after="60"/>
              <w:ind w:firstLine="424" w:firstLineChars="200"/>
              <w:rPr>
                <w:rFonts w:ascii="宋体" w:hAnsi="宋体" w:eastAsia="宋体" w:cs="Arial"/>
                <w:spacing w:val="-4"/>
                <w:szCs w:val="21"/>
              </w:rPr>
            </w:pPr>
          </w:p>
        </w:tc>
        <w:tc>
          <w:tcPr>
            <w:tcW w:w="1349" w:type="dxa"/>
            <w:tcBorders>
              <w:top w:val="single" w:color="auto" w:sz="4" w:space="0"/>
              <w:left w:val="single" w:color="auto" w:sz="4" w:space="0"/>
              <w:bottom w:val="single" w:color="auto" w:sz="4" w:space="0"/>
              <w:right w:val="single" w:color="auto" w:sz="4" w:space="0"/>
            </w:tcBorders>
            <w:vAlign w:val="center"/>
          </w:tcPr>
          <w:p>
            <w:pPr>
              <w:widowControl w:val="0"/>
              <w:spacing w:after="60"/>
              <w:jc w:val="center"/>
              <w:rPr>
                <w:rFonts w:ascii="宋体" w:hAnsi="宋体" w:eastAsia="宋体" w:cs="Arial"/>
                <w:spacing w:val="-4"/>
                <w:szCs w:val="21"/>
              </w:rPr>
            </w:pPr>
            <w:r>
              <w:rPr>
                <w:rFonts w:ascii="宋体" w:hAnsi="宋体" w:eastAsia="宋体" w:cs="Arial"/>
                <w:spacing w:val="-4"/>
                <w:szCs w:val="21"/>
              </w:rPr>
              <w:t>0.38</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val="0"/>
              <w:spacing w:after="60"/>
              <w:jc w:val="center"/>
              <w:rPr>
                <w:rFonts w:ascii="宋体" w:hAnsi="宋体" w:eastAsia="宋体" w:cs="Arial"/>
                <w:spacing w:val="-4"/>
                <w:szCs w:val="21"/>
              </w:rPr>
            </w:pPr>
            <w:r>
              <w:rPr>
                <w:rFonts w:hint="eastAsia" w:ascii="宋体" w:hAnsi="宋体" w:eastAsia="宋体" w:cs="Arial"/>
                <w:spacing w:val="-4"/>
                <w:szCs w:val="21"/>
              </w:rPr>
              <w:t>0.21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835" w:type="dxa"/>
            <w:vMerge w:val="continue"/>
            <w:tcBorders>
              <w:top w:val="single" w:color="auto" w:sz="4" w:space="0"/>
              <w:left w:val="single" w:color="auto" w:sz="4" w:space="0"/>
              <w:bottom w:val="single" w:color="auto" w:sz="4" w:space="0"/>
              <w:right w:val="single" w:color="auto" w:sz="4" w:space="0"/>
            </w:tcBorders>
            <w:vAlign w:val="center"/>
          </w:tcPr>
          <w:p>
            <w:pPr>
              <w:widowControl w:val="0"/>
              <w:spacing w:after="60"/>
              <w:ind w:firstLine="424" w:firstLineChars="200"/>
              <w:rPr>
                <w:rFonts w:ascii="宋体" w:hAnsi="宋体" w:eastAsia="宋体" w:cs="仿宋_GB2312"/>
                <w:spacing w:val="-4"/>
                <w:szCs w:val="21"/>
              </w:rPr>
            </w:pPr>
          </w:p>
        </w:tc>
        <w:tc>
          <w:tcPr>
            <w:tcW w:w="993" w:type="dxa"/>
            <w:gridSpan w:val="2"/>
            <w:tcBorders>
              <w:top w:val="single" w:color="auto" w:sz="4" w:space="0"/>
              <w:left w:val="single" w:color="auto" w:sz="4" w:space="0"/>
              <w:bottom w:val="single" w:color="auto" w:sz="4" w:space="0"/>
              <w:right w:val="single" w:color="auto" w:sz="4" w:space="0"/>
            </w:tcBorders>
            <w:vAlign w:val="center"/>
          </w:tcPr>
          <w:p>
            <w:pPr>
              <w:widowControl w:val="0"/>
              <w:spacing w:after="60"/>
              <w:rPr>
                <w:rFonts w:ascii="宋体" w:hAnsi="宋体" w:eastAsia="宋体" w:cs="仿宋_GB2312"/>
                <w:spacing w:val="-4"/>
                <w:szCs w:val="21"/>
              </w:rPr>
            </w:pPr>
            <w:r>
              <w:rPr>
                <w:rFonts w:hint="eastAsia" w:ascii="宋体" w:hAnsi="宋体" w:eastAsia="宋体" w:cs="仿宋_GB2312"/>
                <w:spacing w:val="-4"/>
                <w:szCs w:val="21"/>
              </w:rPr>
              <w:t>初中</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val="0"/>
              <w:spacing w:after="60"/>
              <w:ind w:firstLine="424" w:firstLineChars="200"/>
              <w:rPr>
                <w:rFonts w:ascii="宋体" w:hAnsi="宋体" w:eastAsia="宋体" w:cs="Arial"/>
                <w:spacing w:val="-4"/>
                <w:szCs w:val="21"/>
              </w:rPr>
            </w:pPr>
          </w:p>
        </w:tc>
        <w:tc>
          <w:tcPr>
            <w:tcW w:w="1349" w:type="dxa"/>
            <w:tcBorders>
              <w:top w:val="single" w:color="auto" w:sz="4" w:space="0"/>
              <w:left w:val="single" w:color="auto" w:sz="4" w:space="0"/>
              <w:bottom w:val="single" w:color="auto" w:sz="4" w:space="0"/>
              <w:right w:val="single" w:color="auto" w:sz="4" w:space="0"/>
            </w:tcBorders>
            <w:vAlign w:val="center"/>
          </w:tcPr>
          <w:p>
            <w:pPr>
              <w:widowControl w:val="0"/>
              <w:spacing w:after="60"/>
              <w:jc w:val="center"/>
              <w:rPr>
                <w:rFonts w:ascii="宋体" w:hAnsi="宋体" w:eastAsia="宋体" w:cs="Arial"/>
                <w:spacing w:val="-4"/>
                <w:szCs w:val="21"/>
              </w:rPr>
            </w:pPr>
            <w:r>
              <w:rPr>
                <w:rFonts w:hint="eastAsia" w:ascii="宋体" w:hAnsi="宋体" w:eastAsia="宋体" w:cs="Arial"/>
                <w:spacing w:val="-4"/>
                <w:szCs w:val="21"/>
              </w:rPr>
              <w:t>0.3</w:t>
            </w:r>
            <w:r>
              <w:rPr>
                <w:rFonts w:ascii="宋体" w:hAnsi="宋体" w:eastAsia="宋体" w:cs="Arial"/>
                <w:spacing w:val="-4"/>
                <w:szCs w:val="21"/>
              </w:rPr>
              <w:t>2</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val="0"/>
              <w:spacing w:after="60"/>
              <w:jc w:val="center"/>
              <w:rPr>
                <w:rFonts w:ascii="宋体" w:hAnsi="宋体" w:eastAsia="宋体" w:cs="Arial"/>
                <w:spacing w:val="-4"/>
                <w:szCs w:val="21"/>
              </w:rPr>
            </w:pPr>
            <w:r>
              <w:rPr>
                <w:rFonts w:hint="eastAsia" w:ascii="宋体" w:hAnsi="宋体" w:eastAsia="宋体" w:cs="Arial"/>
                <w:spacing w:val="-4"/>
                <w:szCs w:val="21"/>
              </w:rPr>
              <w:t>0.2</w:t>
            </w:r>
            <w:r>
              <w:rPr>
                <w:rFonts w:ascii="宋体" w:hAnsi="宋体" w:eastAsia="宋体" w:cs="Arial"/>
                <w:spacing w:val="-4"/>
                <w:szCs w:val="21"/>
              </w:rPr>
              <w:t>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828" w:type="dxa"/>
            <w:gridSpan w:val="3"/>
            <w:tcBorders>
              <w:top w:val="single" w:color="auto" w:sz="4" w:space="0"/>
              <w:left w:val="single" w:color="auto" w:sz="4" w:space="0"/>
              <w:bottom w:val="single" w:color="auto" w:sz="4" w:space="0"/>
              <w:right w:val="single" w:color="auto" w:sz="4" w:space="0"/>
            </w:tcBorders>
            <w:vAlign w:val="center"/>
          </w:tcPr>
          <w:p>
            <w:pPr>
              <w:widowControl w:val="0"/>
              <w:spacing w:after="60"/>
              <w:rPr>
                <w:rFonts w:ascii="黑体" w:hAnsi="宋体" w:eastAsia="黑体"/>
                <w:spacing w:val="-4"/>
                <w:szCs w:val="21"/>
              </w:rPr>
            </w:pPr>
            <w:r>
              <w:rPr>
                <w:rFonts w:hint="eastAsia" w:ascii="黑体" w:hAnsi="宋体" w:eastAsia="黑体" w:cs="仿宋_GB2312"/>
                <w:bCs/>
                <w:spacing w:val="-4"/>
                <w:szCs w:val="21"/>
              </w:rPr>
              <w:t>职业教育</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val="0"/>
              <w:spacing w:after="60"/>
              <w:ind w:firstLine="424" w:firstLineChars="200"/>
              <w:rPr>
                <w:rFonts w:ascii="宋体" w:hAnsi="宋体" w:eastAsia="宋体"/>
                <w:spacing w:val="-4"/>
                <w:szCs w:val="21"/>
              </w:rPr>
            </w:pPr>
          </w:p>
        </w:tc>
        <w:tc>
          <w:tcPr>
            <w:tcW w:w="1349" w:type="dxa"/>
            <w:tcBorders>
              <w:top w:val="single" w:color="auto" w:sz="4" w:space="0"/>
              <w:left w:val="single" w:color="auto" w:sz="4" w:space="0"/>
              <w:bottom w:val="single" w:color="auto" w:sz="4" w:space="0"/>
              <w:right w:val="single" w:color="auto" w:sz="4" w:space="0"/>
            </w:tcBorders>
            <w:vAlign w:val="center"/>
          </w:tcPr>
          <w:p>
            <w:pPr>
              <w:widowControl w:val="0"/>
              <w:spacing w:after="60"/>
              <w:ind w:firstLine="424" w:firstLineChars="200"/>
              <w:jc w:val="center"/>
              <w:rPr>
                <w:rFonts w:ascii="宋体" w:hAnsi="宋体" w:eastAsia="宋体"/>
                <w:spacing w:val="-4"/>
                <w:szCs w:val="21"/>
                <w:highlight w:val="yellow"/>
              </w:rPr>
            </w:pPr>
          </w:p>
        </w:tc>
        <w:tc>
          <w:tcPr>
            <w:tcW w:w="1000" w:type="dxa"/>
            <w:tcBorders>
              <w:top w:val="single" w:color="auto" w:sz="4" w:space="0"/>
              <w:left w:val="single" w:color="auto" w:sz="4" w:space="0"/>
              <w:bottom w:val="single" w:color="auto" w:sz="4" w:space="0"/>
              <w:right w:val="single" w:color="auto" w:sz="4" w:space="0"/>
            </w:tcBorders>
            <w:vAlign w:val="center"/>
          </w:tcPr>
          <w:p>
            <w:pPr>
              <w:widowControl w:val="0"/>
              <w:spacing w:after="60"/>
              <w:ind w:firstLine="424" w:firstLineChars="200"/>
              <w:jc w:val="center"/>
              <w:rPr>
                <w:rFonts w:ascii="宋体" w:hAnsi="宋体" w:eastAsia="宋体"/>
                <w:spacing w:val="-4"/>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828" w:type="dxa"/>
            <w:gridSpan w:val="3"/>
            <w:tcBorders>
              <w:top w:val="single" w:color="auto" w:sz="4" w:space="0"/>
              <w:left w:val="single" w:color="auto" w:sz="4" w:space="0"/>
              <w:bottom w:val="single" w:color="auto" w:sz="4" w:space="0"/>
              <w:right w:val="single" w:color="auto" w:sz="4" w:space="0"/>
            </w:tcBorders>
            <w:vAlign w:val="center"/>
          </w:tcPr>
          <w:p>
            <w:pPr>
              <w:widowControl w:val="0"/>
              <w:spacing w:after="60"/>
              <w:ind w:firstLine="424" w:firstLineChars="200"/>
              <w:rPr>
                <w:rFonts w:ascii="宋体" w:hAnsi="宋体" w:eastAsia="宋体"/>
                <w:spacing w:val="-4"/>
                <w:szCs w:val="21"/>
              </w:rPr>
            </w:pPr>
            <w:r>
              <w:rPr>
                <w:rFonts w:hint="eastAsia" w:ascii="宋体" w:hAnsi="宋体" w:eastAsia="宋体" w:cs="仿宋_GB2312"/>
                <w:spacing w:val="-4"/>
                <w:szCs w:val="21"/>
              </w:rPr>
              <w:t>中等职业教育在校生</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val="0"/>
              <w:spacing w:after="60"/>
              <w:ind w:firstLine="212" w:firstLineChars="100"/>
              <w:rPr>
                <w:rFonts w:ascii="宋体" w:hAnsi="宋体" w:eastAsia="宋体"/>
                <w:spacing w:val="-4"/>
                <w:szCs w:val="21"/>
              </w:rPr>
            </w:pPr>
            <w:r>
              <w:rPr>
                <w:rFonts w:hint="eastAsia" w:ascii="宋体" w:hAnsi="宋体" w:eastAsia="宋体" w:cs="仿宋_GB2312"/>
                <w:spacing w:val="-4"/>
                <w:szCs w:val="21"/>
              </w:rPr>
              <w:t>万人</w:t>
            </w:r>
          </w:p>
        </w:tc>
        <w:tc>
          <w:tcPr>
            <w:tcW w:w="1349" w:type="dxa"/>
            <w:tcBorders>
              <w:top w:val="single" w:color="auto" w:sz="4" w:space="0"/>
              <w:left w:val="single" w:color="auto" w:sz="4" w:space="0"/>
              <w:bottom w:val="single" w:color="auto" w:sz="4" w:space="0"/>
              <w:right w:val="single" w:color="auto" w:sz="4" w:space="0"/>
            </w:tcBorders>
            <w:vAlign w:val="center"/>
          </w:tcPr>
          <w:p>
            <w:pPr>
              <w:widowControl w:val="0"/>
              <w:spacing w:after="60"/>
              <w:jc w:val="center"/>
              <w:rPr>
                <w:rFonts w:ascii="宋体" w:hAnsi="宋体" w:eastAsia="宋体" w:cs="Arial"/>
                <w:spacing w:val="-4"/>
                <w:szCs w:val="21"/>
                <w:highlight w:val="yellow"/>
              </w:rPr>
            </w:pPr>
            <w:r>
              <w:rPr>
                <w:rFonts w:hint="eastAsia" w:ascii="宋体" w:hAnsi="宋体" w:eastAsia="宋体" w:cs="Arial"/>
                <w:spacing w:val="-4"/>
                <w:szCs w:val="21"/>
              </w:rPr>
              <w:t>0.</w:t>
            </w:r>
            <w:r>
              <w:rPr>
                <w:rFonts w:ascii="宋体" w:hAnsi="宋体" w:eastAsia="宋体" w:cs="Arial"/>
                <w:spacing w:val="-4"/>
                <w:szCs w:val="21"/>
              </w:rPr>
              <w:t>12</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val="0"/>
              <w:spacing w:after="60"/>
              <w:jc w:val="center"/>
              <w:rPr>
                <w:rFonts w:ascii="宋体" w:hAnsi="宋体" w:eastAsia="宋体" w:cs="Arial"/>
                <w:spacing w:val="-4"/>
                <w:szCs w:val="21"/>
              </w:rPr>
            </w:pPr>
            <w:r>
              <w:rPr>
                <w:rFonts w:hint="eastAsia" w:ascii="宋体" w:hAnsi="宋体" w:eastAsia="宋体" w:cs="Arial"/>
                <w:spacing w:val="-4"/>
                <w:szCs w:val="21"/>
              </w:rPr>
              <w:t>0.2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828" w:type="dxa"/>
            <w:gridSpan w:val="3"/>
            <w:tcBorders>
              <w:top w:val="single" w:color="auto" w:sz="4" w:space="0"/>
              <w:left w:val="single" w:color="auto" w:sz="4" w:space="0"/>
              <w:bottom w:val="single" w:color="auto" w:sz="4" w:space="0"/>
              <w:right w:val="single" w:color="auto" w:sz="4" w:space="0"/>
            </w:tcBorders>
            <w:vAlign w:val="center"/>
          </w:tcPr>
          <w:p>
            <w:pPr>
              <w:widowControl w:val="0"/>
              <w:spacing w:after="60"/>
              <w:rPr>
                <w:rFonts w:ascii="黑体" w:hAnsi="宋体" w:eastAsia="黑体"/>
                <w:spacing w:val="-4"/>
                <w:szCs w:val="21"/>
              </w:rPr>
            </w:pPr>
            <w:r>
              <w:rPr>
                <w:rFonts w:hint="eastAsia" w:ascii="黑体" w:hAnsi="宋体" w:eastAsia="黑体" w:cs="仿宋_GB2312"/>
                <w:bCs/>
                <w:spacing w:val="-4"/>
                <w:szCs w:val="21"/>
              </w:rPr>
              <w:t>继续教育</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val="0"/>
              <w:spacing w:after="60"/>
              <w:ind w:firstLine="424" w:firstLineChars="200"/>
              <w:rPr>
                <w:rFonts w:ascii="黑体" w:hAnsi="宋体" w:eastAsia="黑体"/>
                <w:spacing w:val="-4"/>
                <w:szCs w:val="21"/>
              </w:rPr>
            </w:pPr>
          </w:p>
        </w:tc>
        <w:tc>
          <w:tcPr>
            <w:tcW w:w="1349" w:type="dxa"/>
            <w:tcBorders>
              <w:top w:val="single" w:color="auto" w:sz="4" w:space="0"/>
              <w:left w:val="single" w:color="auto" w:sz="4" w:space="0"/>
              <w:bottom w:val="single" w:color="auto" w:sz="4" w:space="0"/>
              <w:right w:val="single" w:color="auto" w:sz="4" w:space="0"/>
            </w:tcBorders>
            <w:vAlign w:val="center"/>
          </w:tcPr>
          <w:p>
            <w:pPr>
              <w:widowControl w:val="0"/>
              <w:spacing w:after="60"/>
              <w:ind w:firstLine="424" w:firstLineChars="200"/>
              <w:jc w:val="center"/>
              <w:rPr>
                <w:rFonts w:ascii="黑体" w:hAnsi="宋体" w:eastAsia="黑体"/>
                <w:spacing w:val="-4"/>
                <w:szCs w:val="21"/>
                <w:highlight w:val="yellow"/>
              </w:rPr>
            </w:pPr>
          </w:p>
        </w:tc>
        <w:tc>
          <w:tcPr>
            <w:tcW w:w="1000" w:type="dxa"/>
            <w:tcBorders>
              <w:top w:val="single" w:color="auto" w:sz="4" w:space="0"/>
              <w:left w:val="single" w:color="auto" w:sz="4" w:space="0"/>
              <w:bottom w:val="single" w:color="auto" w:sz="4" w:space="0"/>
              <w:right w:val="single" w:color="auto" w:sz="4" w:space="0"/>
            </w:tcBorders>
            <w:vAlign w:val="center"/>
          </w:tcPr>
          <w:p>
            <w:pPr>
              <w:widowControl w:val="0"/>
              <w:spacing w:after="60"/>
              <w:jc w:val="center"/>
              <w:rPr>
                <w:rFonts w:ascii="黑体" w:hAnsi="宋体" w:eastAsia="黑体"/>
                <w:spacing w:val="-4"/>
                <w:szCs w:val="21"/>
                <w:highlight w:val="yellow"/>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51" w:hRule="atLeast"/>
          <w:jc w:val="center"/>
        </w:trPr>
        <w:tc>
          <w:tcPr>
            <w:tcW w:w="3828" w:type="dxa"/>
            <w:gridSpan w:val="3"/>
            <w:tcBorders>
              <w:top w:val="single" w:color="auto" w:sz="4" w:space="0"/>
              <w:left w:val="single" w:color="auto" w:sz="4" w:space="0"/>
              <w:bottom w:val="single" w:color="auto" w:sz="4" w:space="0"/>
              <w:right w:val="single" w:color="auto" w:sz="4" w:space="0"/>
            </w:tcBorders>
            <w:vAlign w:val="center"/>
          </w:tcPr>
          <w:p>
            <w:pPr>
              <w:widowControl w:val="0"/>
              <w:spacing w:after="60"/>
              <w:ind w:firstLine="424" w:firstLineChars="200"/>
              <w:rPr>
                <w:rFonts w:ascii="宋体" w:hAnsi="宋体" w:eastAsia="宋体"/>
                <w:spacing w:val="-4"/>
                <w:szCs w:val="21"/>
              </w:rPr>
            </w:pPr>
            <w:r>
              <w:rPr>
                <w:rFonts w:hint="eastAsia" w:ascii="宋体" w:hAnsi="宋体" w:eastAsia="宋体" w:cs="仿宋_GB2312"/>
                <w:spacing w:val="-4"/>
                <w:szCs w:val="21"/>
              </w:rPr>
              <w:t>从业人员继续教育</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val="0"/>
              <w:spacing w:after="60"/>
              <w:rPr>
                <w:rFonts w:ascii="宋体" w:hAnsi="宋体" w:eastAsia="宋体"/>
                <w:spacing w:val="-4"/>
                <w:szCs w:val="21"/>
              </w:rPr>
            </w:pPr>
            <w:r>
              <w:rPr>
                <w:rFonts w:hint="eastAsia" w:ascii="宋体" w:hAnsi="宋体" w:eastAsia="宋体" w:cs="仿宋_GB2312"/>
                <w:spacing w:val="-4"/>
                <w:szCs w:val="21"/>
              </w:rPr>
              <w:t>万人次</w:t>
            </w:r>
          </w:p>
        </w:tc>
        <w:tc>
          <w:tcPr>
            <w:tcW w:w="1349" w:type="dxa"/>
            <w:tcBorders>
              <w:top w:val="single" w:color="auto" w:sz="4" w:space="0"/>
              <w:left w:val="single" w:color="auto" w:sz="4" w:space="0"/>
              <w:bottom w:val="single" w:color="auto" w:sz="4" w:space="0"/>
              <w:right w:val="single" w:color="auto" w:sz="4" w:space="0"/>
            </w:tcBorders>
            <w:vAlign w:val="center"/>
          </w:tcPr>
          <w:p>
            <w:pPr>
              <w:widowControl w:val="0"/>
              <w:spacing w:after="60"/>
              <w:jc w:val="center"/>
              <w:rPr>
                <w:rFonts w:ascii="宋体" w:hAnsi="宋体" w:eastAsia="宋体" w:cs="Arial"/>
                <w:spacing w:val="-4"/>
                <w:szCs w:val="21"/>
                <w:highlight w:val="yellow"/>
              </w:rPr>
            </w:pPr>
            <w:r>
              <w:rPr>
                <w:rFonts w:hint="eastAsia" w:ascii="宋体" w:hAnsi="宋体" w:eastAsia="宋体" w:cs="Arial"/>
                <w:spacing w:val="-4"/>
                <w:szCs w:val="21"/>
              </w:rPr>
              <w:t>26</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val="0"/>
              <w:spacing w:after="60"/>
              <w:jc w:val="center"/>
              <w:rPr>
                <w:rFonts w:ascii="宋体" w:hAnsi="宋体" w:eastAsia="宋体" w:cs="Arial"/>
                <w:spacing w:val="-4"/>
                <w:szCs w:val="21"/>
              </w:rPr>
            </w:pPr>
            <w:r>
              <w:rPr>
                <w:rFonts w:hint="eastAsia" w:ascii="宋体" w:hAnsi="宋体" w:eastAsia="宋体" w:cs="Arial"/>
                <w:spacing w:val="-4"/>
                <w:szCs w:val="21"/>
              </w:rPr>
              <w:t>30.5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828" w:type="dxa"/>
            <w:gridSpan w:val="3"/>
            <w:tcBorders>
              <w:top w:val="single" w:color="auto" w:sz="4" w:space="0"/>
              <w:left w:val="single" w:color="auto" w:sz="4" w:space="0"/>
              <w:bottom w:val="single" w:color="auto" w:sz="4" w:space="0"/>
              <w:right w:val="single" w:color="auto" w:sz="4" w:space="0"/>
            </w:tcBorders>
            <w:vAlign w:val="center"/>
          </w:tcPr>
          <w:p>
            <w:pPr>
              <w:widowControl w:val="0"/>
              <w:spacing w:after="60"/>
              <w:rPr>
                <w:rFonts w:ascii="宋体" w:hAnsi="宋体" w:eastAsia="宋体" w:cs="仿宋_GB2312"/>
                <w:b/>
                <w:spacing w:val="-4"/>
                <w:szCs w:val="21"/>
              </w:rPr>
            </w:pPr>
            <w:r>
              <w:rPr>
                <w:rFonts w:hint="eastAsia" w:ascii="宋体" w:hAnsi="宋体" w:eastAsia="宋体" w:cs="仿宋_GB2312"/>
                <w:b/>
                <w:spacing w:val="-4"/>
                <w:szCs w:val="21"/>
              </w:rPr>
              <w:t>教育</w:t>
            </w:r>
            <w:r>
              <w:rPr>
                <w:rFonts w:ascii="宋体" w:hAnsi="宋体" w:eastAsia="宋体" w:cs="仿宋_GB2312"/>
                <w:b/>
                <w:spacing w:val="-4"/>
                <w:szCs w:val="21"/>
              </w:rPr>
              <w:t>保障</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val="0"/>
              <w:spacing w:after="60"/>
              <w:ind w:firstLine="424" w:firstLineChars="200"/>
              <w:rPr>
                <w:rFonts w:ascii="宋体" w:hAnsi="宋体" w:eastAsia="宋体" w:cs="仿宋_GB2312"/>
                <w:spacing w:val="-4"/>
                <w:szCs w:val="21"/>
              </w:rPr>
            </w:pPr>
          </w:p>
        </w:tc>
        <w:tc>
          <w:tcPr>
            <w:tcW w:w="1349" w:type="dxa"/>
            <w:tcBorders>
              <w:top w:val="single" w:color="auto" w:sz="4" w:space="0"/>
              <w:left w:val="single" w:color="auto" w:sz="4" w:space="0"/>
              <w:bottom w:val="single" w:color="auto" w:sz="4" w:space="0"/>
              <w:right w:val="single" w:color="auto" w:sz="4" w:space="0"/>
            </w:tcBorders>
            <w:vAlign w:val="center"/>
          </w:tcPr>
          <w:p>
            <w:pPr>
              <w:widowControl w:val="0"/>
              <w:spacing w:after="60"/>
              <w:ind w:firstLine="424" w:firstLineChars="200"/>
              <w:jc w:val="center"/>
              <w:rPr>
                <w:rFonts w:ascii="宋体" w:hAnsi="宋体" w:eastAsia="宋体" w:cs="Arial"/>
                <w:spacing w:val="-4"/>
                <w:szCs w:val="21"/>
                <w:highlight w:val="yellow"/>
              </w:rPr>
            </w:pPr>
          </w:p>
        </w:tc>
        <w:tc>
          <w:tcPr>
            <w:tcW w:w="1000" w:type="dxa"/>
            <w:tcBorders>
              <w:top w:val="single" w:color="auto" w:sz="4" w:space="0"/>
              <w:left w:val="single" w:color="auto" w:sz="4" w:space="0"/>
              <w:bottom w:val="single" w:color="auto" w:sz="4" w:space="0"/>
              <w:right w:val="single" w:color="auto" w:sz="4" w:space="0"/>
            </w:tcBorders>
            <w:vAlign w:val="center"/>
          </w:tcPr>
          <w:p>
            <w:pPr>
              <w:widowControl w:val="0"/>
              <w:spacing w:after="60"/>
              <w:ind w:firstLine="424" w:firstLineChars="200"/>
              <w:jc w:val="center"/>
              <w:rPr>
                <w:rFonts w:ascii="宋体" w:hAnsi="宋体" w:eastAsia="宋体" w:cs="Arial"/>
                <w:spacing w:val="-4"/>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828" w:type="dxa"/>
            <w:gridSpan w:val="3"/>
            <w:tcBorders>
              <w:top w:val="single" w:color="auto" w:sz="4" w:space="0"/>
              <w:left w:val="single" w:color="auto" w:sz="4" w:space="0"/>
              <w:bottom w:val="single" w:color="auto" w:sz="4" w:space="0"/>
              <w:right w:val="single" w:color="auto" w:sz="4" w:space="0"/>
            </w:tcBorders>
            <w:vAlign w:val="center"/>
          </w:tcPr>
          <w:p>
            <w:pPr>
              <w:widowControl w:val="0"/>
              <w:spacing w:after="60"/>
              <w:ind w:firstLine="424" w:firstLineChars="200"/>
              <w:rPr>
                <w:rFonts w:ascii="宋体" w:hAnsi="宋体" w:eastAsia="宋体" w:cs="仿宋_GB2312"/>
                <w:spacing w:val="-4"/>
                <w:szCs w:val="21"/>
              </w:rPr>
            </w:pPr>
            <w:r>
              <w:rPr>
                <w:rFonts w:hint="eastAsia" w:ascii="宋体" w:hAnsi="宋体" w:eastAsia="宋体" w:cs="仿宋_GB2312"/>
                <w:spacing w:val="-4"/>
                <w:szCs w:val="21"/>
              </w:rPr>
              <w:t>省标准化学校达标比例</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val="0"/>
              <w:spacing w:after="60"/>
              <w:ind w:firstLine="424" w:firstLineChars="200"/>
              <w:rPr>
                <w:rFonts w:ascii="宋体" w:hAnsi="宋体" w:eastAsia="宋体" w:cs="仿宋_GB2312"/>
                <w:spacing w:val="-4"/>
                <w:szCs w:val="21"/>
              </w:rPr>
            </w:pPr>
            <w:r>
              <w:rPr>
                <w:rFonts w:hint="eastAsia" w:ascii="宋体" w:hAnsi="宋体" w:eastAsia="宋体" w:cs="仿宋_GB2312"/>
                <w:spacing w:val="-4"/>
                <w:szCs w:val="21"/>
              </w:rPr>
              <w:t>%</w:t>
            </w:r>
          </w:p>
        </w:tc>
        <w:tc>
          <w:tcPr>
            <w:tcW w:w="1349" w:type="dxa"/>
            <w:tcBorders>
              <w:top w:val="single" w:color="auto" w:sz="4" w:space="0"/>
              <w:left w:val="single" w:color="auto" w:sz="4" w:space="0"/>
              <w:bottom w:val="single" w:color="auto" w:sz="4" w:space="0"/>
              <w:right w:val="single" w:color="auto" w:sz="4" w:space="0"/>
            </w:tcBorders>
            <w:vAlign w:val="center"/>
          </w:tcPr>
          <w:p>
            <w:pPr>
              <w:widowControl w:val="0"/>
              <w:spacing w:after="60"/>
              <w:ind w:firstLine="424" w:firstLineChars="200"/>
              <w:jc w:val="center"/>
              <w:rPr>
                <w:rFonts w:ascii="宋体" w:hAnsi="宋体" w:eastAsia="宋体" w:cs="Arial"/>
                <w:spacing w:val="-4"/>
                <w:szCs w:val="21"/>
              </w:rPr>
            </w:pPr>
            <w:r>
              <w:rPr>
                <w:rFonts w:hint="eastAsia" w:ascii="宋体" w:hAnsi="宋体" w:eastAsia="宋体" w:cs="Arial"/>
                <w:spacing w:val="-4"/>
                <w:szCs w:val="21"/>
              </w:rPr>
              <w:t>98.4</w:t>
            </w:r>
            <w:r>
              <w:rPr>
                <w:rFonts w:ascii="宋体" w:hAnsi="宋体" w:eastAsia="宋体" w:cs="Arial"/>
                <w:spacing w:val="-4"/>
                <w:szCs w:val="21"/>
              </w:rPr>
              <w:t>8</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val="0"/>
              <w:spacing w:after="60"/>
              <w:jc w:val="center"/>
              <w:rPr>
                <w:rFonts w:ascii="宋体" w:hAnsi="宋体" w:eastAsia="宋体" w:cs="Arial"/>
                <w:spacing w:val="-4"/>
                <w:szCs w:val="21"/>
              </w:rPr>
            </w:pPr>
            <w:r>
              <w:rPr>
                <w:rFonts w:hint="eastAsia" w:ascii="宋体" w:hAnsi="宋体" w:eastAsia="宋体" w:cs="Arial"/>
                <w:spacing w:val="-4"/>
                <w:szCs w:val="21"/>
              </w:rPr>
              <w:t>100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835" w:type="dxa"/>
            <w:vMerge w:val="restart"/>
            <w:tcBorders>
              <w:top w:val="single" w:color="auto" w:sz="4" w:space="0"/>
              <w:left w:val="single" w:color="auto" w:sz="4" w:space="0"/>
              <w:bottom w:val="single" w:color="auto" w:sz="4" w:space="0"/>
              <w:right w:val="single" w:color="auto" w:sz="4" w:space="0"/>
            </w:tcBorders>
            <w:vAlign w:val="center"/>
          </w:tcPr>
          <w:p>
            <w:pPr>
              <w:widowControl w:val="0"/>
              <w:spacing w:after="60"/>
              <w:ind w:firstLine="424" w:firstLineChars="200"/>
              <w:rPr>
                <w:rFonts w:ascii="宋体" w:hAnsi="宋体" w:eastAsia="宋体" w:cs="仿宋_GB2312"/>
                <w:spacing w:val="-4"/>
                <w:szCs w:val="21"/>
              </w:rPr>
            </w:pPr>
            <w:r>
              <w:rPr>
                <w:rFonts w:ascii="宋体" w:hAnsi="宋体" w:eastAsia="宋体" w:cs="仿宋_GB2312"/>
                <w:spacing w:val="-4"/>
                <w:szCs w:val="21"/>
              </w:rPr>
              <w:t>每百名学生拥有</w:t>
            </w:r>
            <w:r>
              <w:rPr>
                <w:rFonts w:hint="eastAsia" w:ascii="宋体" w:hAnsi="宋体" w:eastAsia="宋体" w:cs="仿宋_GB2312"/>
                <w:spacing w:val="-4"/>
                <w:szCs w:val="21"/>
              </w:rPr>
              <w:t>县级</w:t>
            </w:r>
            <w:r>
              <w:rPr>
                <w:rFonts w:ascii="宋体" w:hAnsi="宋体" w:eastAsia="宋体" w:cs="仿宋_GB2312"/>
                <w:spacing w:val="-4"/>
                <w:szCs w:val="21"/>
              </w:rPr>
              <w:t>以上骨干教师数</w:t>
            </w:r>
          </w:p>
        </w:tc>
        <w:tc>
          <w:tcPr>
            <w:tcW w:w="993" w:type="dxa"/>
            <w:gridSpan w:val="2"/>
            <w:tcBorders>
              <w:top w:val="single" w:color="auto" w:sz="4" w:space="0"/>
              <w:left w:val="single" w:color="auto" w:sz="4" w:space="0"/>
              <w:bottom w:val="single" w:color="auto" w:sz="4" w:space="0"/>
              <w:right w:val="single" w:color="auto" w:sz="4" w:space="0"/>
            </w:tcBorders>
            <w:vAlign w:val="center"/>
          </w:tcPr>
          <w:p>
            <w:pPr>
              <w:widowControl w:val="0"/>
              <w:spacing w:after="60"/>
              <w:rPr>
                <w:rFonts w:ascii="宋体" w:hAnsi="宋体" w:eastAsia="宋体" w:cs="仿宋_GB2312"/>
                <w:spacing w:val="-4"/>
                <w:szCs w:val="21"/>
              </w:rPr>
            </w:pPr>
            <w:r>
              <w:rPr>
                <w:rFonts w:hint="eastAsia" w:ascii="宋体" w:hAnsi="宋体" w:eastAsia="宋体" w:cs="仿宋_GB2312"/>
                <w:spacing w:val="-4"/>
                <w:szCs w:val="21"/>
              </w:rPr>
              <w:t>小学</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val="0"/>
              <w:spacing w:after="60"/>
              <w:ind w:firstLine="424" w:firstLineChars="200"/>
              <w:rPr>
                <w:rFonts w:ascii="宋体" w:hAnsi="宋体" w:eastAsia="宋体" w:cs="仿宋_GB2312"/>
                <w:spacing w:val="-4"/>
                <w:szCs w:val="21"/>
              </w:rPr>
            </w:pPr>
            <w:r>
              <w:rPr>
                <w:rFonts w:hint="eastAsia" w:ascii="宋体" w:hAnsi="宋体" w:eastAsia="宋体" w:cs="仿宋_GB2312"/>
                <w:spacing w:val="-4"/>
                <w:szCs w:val="21"/>
              </w:rPr>
              <w:t>人</w:t>
            </w:r>
          </w:p>
        </w:tc>
        <w:tc>
          <w:tcPr>
            <w:tcW w:w="1349" w:type="dxa"/>
            <w:tcBorders>
              <w:top w:val="single" w:color="auto" w:sz="4" w:space="0"/>
              <w:left w:val="single" w:color="auto" w:sz="4" w:space="0"/>
              <w:bottom w:val="single" w:color="auto" w:sz="4" w:space="0"/>
              <w:right w:val="single" w:color="auto" w:sz="4" w:space="0"/>
            </w:tcBorders>
            <w:vAlign w:val="center"/>
          </w:tcPr>
          <w:p>
            <w:pPr>
              <w:widowControl w:val="0"/>
              <w:spacing w:after="60"/>
              <w:ind w:firstLine="424" w:firstLineChars="200"/>
              <w:jc w:val="center"/>
              <w:rPr>
                <w:rFonts w:ascii="宋体" w:hAnsi="宋体" w:eastAsia="宋体" w:cs="Arial"/>
                <w:spacing w:val="-4"/>
                <w:szCs w:val="21"/>
              </w:rPr>
            </w:pPr>
            <w:r>
              <w:rPr>
                <w:rFonts w:ascii="宋体" w:hAnsi="宋体" w:eastAsia="宋体" w:cs="Arial"/>
                <w:spacing w:val="-4"/>
                <w:szCs w:val="21"/>
              </w:rPr>
              <w:t>2.2</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val="0"/>
              <w:spacing w:after="60"/>
              <w:jc w:val="center"/>
              <w:rPr>
                <w:rFonts w:ascii="宋体" w:hAnsi="宋体" w:eastAsia="宋体" w:cs="Arial"/>
                <w:spacing w:val="-4"/>
                <w:szCs w:val="21"/>
              </w:rPr>
            </w:pPr>
            <w:r>
              <w:rPr>
                <w:rFonts w:hint="eastAsia" w:ascii="宋体" w:hAnsi="宋体" w:eastAsia="宋体" w:cs="Arial"/>
                <w:spacing w:val="-4"/>
                <w:szCs w:val="21"/>
              </w:rPr>
              <w:t>2.5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2835" w:type="dxa"/>
            <w:vMerge w:val="continue"/>
            <w:tcBorders>
              <w:top w:val="single" w:color="auto" w:sz="4" w:space="0"/>
              <w:left w:val="single" w:color="auto" w:sz="4" w:space="0"/>
              <w:bottom w:val="single" w:color="auto" w:sz="4" w:space="0"/>
              <w:right w:val="single" w:color="auto" w:sz="4" w:space="0"/>
            </w:tcBorders>
            <w:vAlign w:val="center"/>
          </w:tcPr>
          <w:p>
            <w:pPr>
              <w:widowControl w:val="0"/>
              <w:spacing w:after="60"/>
              <w:ind w:firstLine="424" w:firstLineChars="200"/>
              <w:rPr>
                <w:rFonts w:ascii="宋体" w:hAnsi="宋体" w:eastAsia="宋体" w:cs="仿宋_GB2312"/>
                <w:spacing w:val="-4"/>
                <w:szCs w:val="21"/>
              </w:rPr>
            </w:pPr>
          </w:p>
        </w:tc>
        <w:tc>
          <w:tcPr>
            <w:tcW w:w="993" w:type="dxa"/>
            <w:gridSpan w:val="2"/>
            <w:tcBorders>
              <w:top w:val="single" w:color="auto" w:sz="4" w:space="0"/>
              <w:left w:val="single" w:color="auto" w:sz="4" w:space="0"/>
              <w:bottom w:val="single" w:color="auto" w:sz="4" w:space="0"/>
              <w:right w:val="single" w:color="auto" w:sz="4" w:space="0"/>
            </w:tcBorders>
            <w:vAlign w:val="center"/>
          </w:tcPr>
          <w:p>
            <w:pPr>
              <w:widowControl w:val="0"/>
              <w:spacing w:after="60"/>
              <w:rPr>
                <w:rFonts w:ascii="宋体" w:hAnsi="宋体" w:eastAsia="宋体" w:cs="仿宋_GB2312"/>
                <w:spacing w:val="-4"/>
                <w:szCs w:val="21"/>
              </w:rPr>
            </w:pPr>
            <w:r>
              <w:rPr>
                <w:rFonts w:hint="eastAsia" w:ascii="宋体" w:hAnsi="宋体" w:eastAsia="宋体" w:cs="仿宋_GB2312"/>
                <w:spacing w:val="-4"/>
                <w:szCs w:val="21"/>
              </w:rPr>
              <w:t>初中</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val="0"/>
              <w:spacing w:after="60"/>
              <w:ind w:firstLine="424" w:firstLineChars="200"/>
              <w:rPr>
                <w:rFonts w:ascii="宋体" w:hAnsi="宋体" w:eastAsia="宋体" w:cs="仿宋_GB2312"/>
                <w:spacing w:val="-4"/>
                <w:szCs w:val="21"/>
              </w:rPr>
            </w:pPr>
            <w:r>
              <w:rPr>
                <w:rFonts w:hint="eastAsia" w:ascii="宋体" w:hAnsi="宋体" w:eastAsia="宋体" w:cs="仿宋_GB2312"/>
                <w:spacing w:val="-4"/>
                <w:szCs w:val="21"/>
              </w:rPr>
              <w:t>人</w:t>
            </w:r>
          </w:p>
        </w:tc>
        <w:tc>
          <w:tcPr>
            <w:tcW w:w="1349" w:type="dxa"/>
            <w:tcBorders>
              <w:top w:val="single" w:color="auto" w:sz="4" w:space="0"/>
              <w:left w:val="single" w:color="auto" w:sz="4" w:space="0"/>
              <w:bottom w:val="single" w:color="auto" w:sz="4" w:space="0"/>
              <w:right w:val="single" w:color="auto" w:sz="4" w:space="0"/>
            </w:tcBorders>
            <w:vAlign w:val="center"/>
          </w:tcPr>
          <w:p>
            <w:pPr>
              <w:widowControl w:val="0"/>
              <w:spacing w:after="60"/>
              <w:ind w:firstLine="424" w:firstLineChars="200"/>
              <w:jc w:val="center"/>
              <w:rPr>
                <w:rFonts w:ascii="宋体" w:hAnsi="宋体" w:eastAsia="宋体" w:cs="Arial"/>
                <w:spacing w:val="-4"/>
                <w:szCs w:val="21"/>
              </w:rPr>
            </w:pPr>
            <w:r>
              <w:rPr>
                <w:rFonts w:hint="eastAsia" w:ascii="宋体" w:hAnsi="宋体" w:eastAsia="宋体" w:cs="Arial"/>
                <w:spacing w:val="-4"/>
                <w:szCs w:val="21"/>
              </w:rPr>
              <w:t>2.</w:t>
            </w:r>
            <w:r>
              <w:rPr>
                <w:rFonts w:ascii="宋体" w:hAnsi="宋体" w:eastAsia="宋体" w:cs="Arial"/>
                <w:spacing w:val="-4"/>
                <w:szCs w:val="21"/>
              </w:rPr>
              <w:t>5</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val="0"/>
              <w:spacing w:after="60"/>
              <w:jc w:val="center"/>
              <w:rPr>
                <w:rFonts w:ascii="宋体" w:hAnsi="宋体" w:eastAsia="宋体" w:cs="Arial"/>
                <w:spacing w:val="-4"/>
                <w:szCs w:val="21"/>
              </w:rPr>
            </w:pPr>
            <w:r>
              <w:rPr>
                <w:rFonts w:hint="eastAsia" w:ascii="宋体" w:hAnsi="宋体" w:eastAsia="宋体" w:cs="Arial"/>
                <w:spacing w:val="-4"/>
                <w:szCs w:val="21"/>
              </w:rPr>
              <w:t>2.8</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828" w:type="dxa"/>
            <w:gridSpan w:val="3"/>
            <w:tcBorders>
              <w:top w:val="single" w:color="auto" w:sz="4" w:space="0"/>
              <w:left w:val="single" w:color="auto" w:sz="4" w:space="0"/>
              <w:bottom w:val="single" w:color="auto" w:sz="4" w:space="0"/>
              <w:right w:val="single" w:color="auto" w:sz="4" w:space="0"/>
            </w:tcBorders>
            <w:vAlign w:val="center"/>
          </w:tcPr>
          <w:p>
            <w:pPr>
              <w:widowControl w:val="0"/>
              <w:spacing w:after="60"/>
              <w:rPr>
                <w:rFonts w:ascii="宋体" w:hAnsi="宋体" w:eastAsia="宋体" w:cs="仿宋_GB2312"/>
                <w:b/>
                <w:spacing w:val="-4"/>
                <w:szCs w:val="21"/>
              </w:rPr>
            </w:pPr>
            <w:r>
              <w:rPr>
                <w:rFonts w:hint="eastAsia" w:ascii="宋体" w:hAnsi="宋体" w:eastAsia="宋体" w:cs="仿宋_GB2312"/>
                <w:b/>
                <w:spacing w:val="-4"/>
                <w:szCs w:val="21"/>
              </w:rPr>
              <w:t>教育</w:t>
            </w:r>
            <w:r>
              <w:rPr>
                <w:rFonts w:ascii="宋体" w:hAnsi="宋体" w:eastAsia="宋体" w:cs="仿宋_GB2312"/>
                <w:b/>
                <w:spacing w:val="-4"/>
                <w:szCs w:val="21"/>
              </w:rPr>
              <w:t>贡献度</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val="0"/>
              <w:spacing w:after="60"/>
              <w:ind w:firstLine="424" w:firstLineChars="200"/>
              <w:rPr>
                <w:rFonts w:ascii="宋体" w:hAnsi="宋体" w:eastAsia="宋体" w:cs="仿宋_GB2312"/>
                <w:spacing w:val="-4"/>
                <w:szCs w:val="21"/>
              </w:rPr>
            </w:pPr>
          </w:p>
        </w:tc>
        <w:tc>
          <w:tcPr>
            <w:tcW w:w="1349" w:type="dxa"/>
            <w:tcBorders>
              <w:top w:val="single" w:color="auto" w:sz="4" w:space="0"/>
              <w:left w:val="single" w:color="auto" w:sz="4" w:space="0"/>
              <w:bottom w:val="single" w:color="auto" w:sz="4" w:space="0"/>
              <w:right w:val="single" w:color="auto" w:sz="4" w:space="0"/>
            </w:tcBorders>
            <w:vAlign w:val="center"/>
          </w:tcPr>
          <w:p>
            <w:pPr>
              <w:widowControl w:val="0"/>
              <w:spacing w:after="60"/>
              <w:ind w:firstLine="424" w:firstLineChars="200"/>
              <w:jc w:val="center"/>
              <w:rPr>
                <w:rFonts w:ascii="宋体" w:hAnsi="宋体" w:eastAsia="宋体" w:cs="Arial"/>
                <w:spacing w:val="-4"/>
                <w:szCs w:val="21"/>
              </w:rPr>
            </w:pPr>
          </w:p>
        </w:tc>
        <w:tc>
          <w:tcPr>
            <w:tcW w:w="1000" w:type="dxa"/>
            <w:tcBorders>
              <w:top w:val="single" w:color="auto" w:sz="4" w:space="0"/>
              <w:left w:val="single" w:color="auto" w:sz="4" w:space="0"/>
              <w:bottom w:val="single" w:color="auto" w:sz="4" w:space="0"/>
              <w:right w:val="single" w:color="auto" w:sz="4" w:space="0"/>
            </w:tcBorders>
            <w:vAlign w:val="center"/>
          </w:tcPr>
          <w:p>
            <w:pPr>
              <w:widowControl w:val="0"/>
              <w:spacing w:after="60"/>
              <w:jc w:val="center"/>
              <w:rPr>
                <w:rFonts w:ascii="宋体" w:hAnsi="宋体" w:eastAsia="宋体" w:cs="Arial"/>
                <w:spacing w:val="-4"/>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2865"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val="0"/>
              <w:spacing w:after="60"/>
              <w:ind w:firstLine="424" w:firstLineChars="200"/>
              <w:rPr>
                <w:rFonts w:ascii="宋体" w:hAnsi="宋体" w:eastAsia="宋体" w:cs="仿宋_GB2312"/>
                <w:spacing w:val="-4"/>
                <w:szCs w:val="21"/>
              </w:rPr>
            </w:pPr>
            <w:r>
              <w:rPr>
                <w:rFonts w:hint="eastAsia" w:ascii="宋体" w:hAnsi="宋体" w:eastAsia="宋体" w:cs="仿宋_GB2312"/>
                <w:spacing w:val="-4"/>
                <w:szCs w:val="21"/>
              </w:rPr>
              <w:t>学生体质健康合格率</w:t>
            </w:r>
          </w:p>
        </w:tc>
        <w:tc>
          <w:tcPr>
            <w:tcW w:w="963" w:type="dxa"/>
            <w:tcBorders>
              <w:top w:val="single" w:color="auto" w:sz="4" w:space="0"/>
              <w:left w:val="single" w:color="auto" w:sz="4" w:space="0"/>
              <w:bottom w:val="single" w:color="auto" w:sz="4" w:space="0"/>
              <w:right w:val="single" w:color="auto" w:sz="4" w:space="0"/>
            </w:tcBorders>
            <w:vAlign w:val="center"/>
          </w:tcPr>
          <w:p>
            <w:pPr>
              <w:widowControl w:val="0"/>
              <w:spacing w:after="60"/>
              <w:rPr>
                <w:rFonts w:ascii="宋体" w:hAnsi="宋体" w:eastAsia="宋体" w:cs="仿宋_GB2312"/>
                <w:spacing w:val="-4"/>
                <w:szCs w:val="21"/>
              </w:rPr>
            </w:pPr>
            <w:r>
              <w:rPr>
                <w:rFonts w:hint="eastAsia" w:ascii="宋体" w:hAnsi="宋体" w:eastAsia="宋体" w:cs="仿宋_GB2312"/>
                <w:spacing w:val="-4"/>
                <w:szCs w:val="21"/>
              </w:rPr>
              <w:t>小学</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val="0"/>
              <w:spacing w:after="60"/>
              <w:ind w:firstLine="424" w:firstLineChars="200"/>
              <w:rPr>
                <w:rFonts w:ascii="宋体" w:hAnsi="宋体" w:eastAsia="宋体" w:cs="仿宋_GB2312"/>
                <w:spacing w:val="-4"/>
                <w:szCs w:val="21"/>
              </w:rPr>
            </w:pPr>
            <w:r>
              <w:rPr>
                <w:rFonts w:hint="eastAsia" w:ascii="宋体" w:hAnsi="宋体" w:eastAsia="宋体" w:cs="仿宋_GB2312"/>
                <w:spacing w:val="-4"/>
                <w:szCs w:val="21"/>
              </w:rPr>
              <w:t>%</w:t>
            </w:r>
          </w:p>
        </w:tc>
        <w:tc>
          <w:tcPr>
            <w:tcW w:w="1349" w:type="dxa"/>
            <w:tcBorders>
              <w:top w:val="single" w:color="auto" w:sz="4" w:space="0"/>
              <w:left w:val="single" w:color="auto" w:sz="4" w:space="0"/>
              <w:bottom w:val="single" w:color="auto" w:sz="4" w:space="0"/>
              <w:right w:val="single" w:color="auto" w:sz="4" w:space="0"/>
            </w:tcBorders>
            <w:vAlign w:val="center"/>
          </w:tcPr>
          <w:p>
            <w:pPr>
              <w:widowControl w:val="0"/>
              <w:spacing w:after="60"/>
              <w:ind w:firstLine="424" w:firstLineChars="200"/>
              <w:jc w:val="center"/>
              <w:rPr>
                <w:rFonts w:ascii="宋体" w:hAnsi="宋体" w:eastAsia="宋体" w:cs="Arial"/>
                <w:spacing w:val="-4"/>
                <w:szCs w:val="21"/>
              </w:rPr>
            </w:pPr>
            <w:r>
              <w:rPr>
                <w:rFonts w:hint="eastAsia" w:ascii="宋体" w:hAnsi="宋体" w:eastAsia="宋体" w:cs="Arial"/>
                <w:spacing w:val="-4"/>
                <w:szCs w:val="21"/>
              </w:rPr>
              <w:t>9</w:t>
            </w:r>
            <w:r>
              <w:rPr>
                <w:rFonts w:ascii="宋体" w:hAnsi="宋体" w:eastAsia="宋体" w:cs="Arial"/>
                <w:spacing w:val="-4"/>
                <w:szCs w:val="21"/>
              </w:rPr>
              <w:t>9.17</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val="0"/>
              <w:spacing w:after="60"/>
              <w:jc w:val="center"/>
              <w:rPr>
                <w:rFonts w:ascii="宋体" w:hAnsi="宋体" w:eastAsia="宋体" w:cs="Arial"/>
                <w:spacing w:val="-4"/>
                <w:szCs w:val="21"/>
              </w:rPr>
            </w:pPr>
            <w:r>
              <w:rPr>
                <w:rFonts w:hint="eastAsia" w:ascii="宋体" w:hAnsi="宋体" w:eastAsia="宋体" w:cs="Arial"/>
                <w:spacing w:val="-4"/>
                <w:szCs w:val="21"/>
              </w:rPr>
              <w:t>99.4</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82" w:hRule="atLeast"/>
          <w:jc w:val="center"/>
        </w:trPr>
        <w:tc>
          <w:tcPr>
            <w:tcW w:w="2865"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val="0"/>
              <w:spacing w:after="60"/>
              <w:ind w:firstLine="424" w:firstLineChars="200"/>
              <w:rPr>
                <w:rFonts w:ascii="宋体" w:hAnsi="宋体" w:eastAsia="宋体" w:cs="仿宋_GB2312"/>
                <w:spacing w:val="-4"/>
                <w:szCs w:val="21"/>
              </w:rPr>
            </w:pPr>
          </w:p>
        </w:tc>
        <w:tc>
          <w:tcPr>
            <w:tcW w:w="963" w:type="dxa"/>
            <w:tcBorders>
              <w:top w:val="single" w:color="auto" w:sz="4" w:space="0"/>
              <w:left w:val="single" w:color="auto" w:sz="4" w:space="0"/>
              <w:bottom w:val="single" w:color="auto" w:sz="4" w:space="0"/>
              <w:right w:val="single" w:color="auto" w:sz="4" w:space="0"/>
            </w:tcBorders>
            <w:vAlign w:val="center"/>
          </w:tcPr>
          <w:p>
            <w:pPr>
              <w:widowControl w:val="0"/>
              <w:spacing w:after="60"/>
              <w:rPr>
                <w:rFonts w:ascii="宋体" w:hAnsi="宋体" w:eastAsia="宋体" w:cs="仿宋_GB2312"/>
                <w:spacing w:val="-4"/>
                <w:szCs w:val="21"/>
              </w:rPr>
            </w:pPr>
            <w:r>
              <w:rPr>
                <w:rFonts w:hint="eastAsia" w:ascii="宋体" w:hAnsi="宋体" w:eastAsia="宋体" w:cs="仿宋_GB2312"/>
                <w:spacing w:val="-4"/>
                <w:szCs w:val="21"/>
              </w:rPr>
              <w:t>初中</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val="0"/>
              <w:spacing w:after="60"/>
              <w:ind w:firstLine="424" w:firstLineChars="200"/>
              <w:rPr>
                <w:rFonts w:ascii="宋体" w:hAnsi="宋体" w:eastAsia="宋体" w:cs="仿宋_GB2312"/>
                <w:spacing w:val="-4"/>
                <w:szCs w:val="21"/>
              </w:rPr>
            </w:pPr>
            <w:r>
              <w:rPr>
                <w:rFonts w:hint="eastAsia" w:ascii="宋体" w:hAnsi="宋体" w:eastAsia="宋体" w:cs="仿宋_GB2312"/>
                <w:spacing w:val="-4"/>
                <w:szCs w:val="21"/>
              </w:rPr>
              <w:t>%</w:t>
            </w:r>
          </w:p>
        </w:tc>
        <w:tc>
          <w:tcPr>
            <w:tcW w:w="1349" w:type="dxa"/>
            <w:tcBorders>
              <w:top w:val="single" w:color="auto" w:sz="4" w:space="0"/>
              <w:left w:val="single" w:color="auto" w:sz="4" w:space="0"/>
              <w:bottom w:val="single" w:color="auto" w:sz="4" w:space="0"/>
              <w:right w:val="single" w:color="auto" w:sz="4" w:space="0"/>
            </w:tcBorders>
            <w:vAlign w:val="center"/>
          </w:tcPr>
          <w:p>
            <w:pPr>
              <w:widowControl w:val="0"/>
              <w:spacing w:after="60"/>
              <w:ind w:firstLine="424" w:firstLineChars="200"/>
              <w:jc w:val="center"/>
              <w:rPr>
                <w:rFonts w:ascii="宋体" w:hAnsi="宋体" w:eastAsia="宋体" w:cs="Arial"/>
                <w:spacing w:val="-4"/>
                <w:szCs w:val="21"/>
              </w:rPr>
            </w:pPr>
            <w:r>
              <w:rPr>
                <w:rFonts w:hint="eastAsia" w:ascii="宋体" w:hAnsi="宋体" w:eastAsia="宋体" w:cs="Arial"/>
                <w:spacing w:val="-4"/>
                <w:szCs w:val="21"/>
              </w:rPr>
              <w:t>9</w:t>
            </w:r>
            <w:r>
              <w:rPr>
                <w:rFonts w:ascii="宋体" w:hAnsi="宋体" w:eastAsia="宋体" w:cs="Arial"/>
                <w:spacing w:val="-4"/>
                <w:szCs w:val="21"/>
              </w:rPr>
              <w:t>7.03</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val="0"/>
              <w:spacing w:after="60"/>
              <w:jc w:val="center"/>
              <w:rPr>
                <w:rFonts w:ascii="宋体" w:hAnsi="宋体" w:eastAsia="宋体" w:cs="Arial"/>
                <w:spacing w:val="-4"/>
                <w:szCs w:val="21"/>
              </w:rPr>
            </w:pPr>
            <w:r>
              <w:rPr>
                <w:rFonts w:hint="eastAsia" w:ascii="宋体" w:hAnsi="宋体" w:eastAsia="宋体" w:cs="Arial"/>
                <w:spacing w:val="-4"/>
                <w:szCs w:val="21"/>
              </w:rPr>
              <w:t>98</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82" w:hRule="atLeast"/>
          <w:jc w:val="center"/>
        </w:trPr>
        <w:tc>
          <w:tcPr>
            <w:tcW w:w="3828" w:type="dxa"/>
            <w:gridSpan w:val="3"/>
            <w:tcBorders>
              <w:top w:val="single" w:color="auto" w:sz="4" w:space="0"/>
              <w:left w:val="single" w:color="auto" w:sz="4" w:space="0"/>
              <w:bottom w:val="single" w:color="auto" w:sz="4" w:space="0"/>
              <w:right w:val="single" w:color="auto" w:sz="4" w:space="0"/>
            </w:tcBorders>
            <w:vAlign w:val="center"/>
          </w:tcPr>
          <w:p>
            <w:pPr>
              <w:widowControl w:val="0"/>
              <w:spacing w:after="60"/>
              <w:ind w:firstLine="424" w:firstLineChars="200"/>
              <w:rPr>
                <w:rFonts w:ascii="宋体" w:hAnsi="宋体" w:eastAsia="宋体" w:cs="仿宋_GB2312"/>
                <w:spacing w:val="-4"/>
                <w:szCs w:val="21"/>
              </w:rPr>
            </w:pPr>
            <w:r>
              <w:rPr>
                <w:rFonts w:hint="eastAsia" w:ascii="宋体" w:hAnsi="宋体" w:eastAsia="宋体" w:cs="仿宋_GB2312"/>
                <w:spacing w:val="-4"/>
                <w:szCs w:val="21"/>
              </w:rPr>
              <w:t>儿童平均</w:t>
            </w:r>
            <w:r>
              <w:rPr>
                <w:rFonts w:ascii="宋体" w:hAnsi="宋体" w:eastAsia="宋体" w:cs="仿宋_GB2312"/>
                <w:spacing w:val="-4"/>
                <w:szCs w:val="21"/>
              </w:rPr>
              <w:t>预期受教育</w:t>
            </w:r>
            <w:r>
              <w:rPr>
                <w:rFonts w:hint="eastAsia" w:ascii="宋体" w:hAnsi="宋体" w:eastAsia="宋体" w:cs="仿宋_GB2312"/>
                <w:spacing w:val="-4"/>
                <w:szCs w:val="21"/>
              </w:rPr>
              <w:t>年限</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val="0"/>
              <w:spacing w:after="60"/>
              <w:ind w:firstLine="424" w:firstLineChars="200"/>
              <w:rPr>
                <w:rFonts w:ascii="宋体" w:hAnsi="宋体" w:eastAsia="宋体" w:cs="仿宋_GB2312"/>
                <w:spacing w:val="-4"/>
                <w:szCs w:val="21"/>
                <w:highlight w:val="yellow"/>
              </w:rPr>
            </w:pPr>
            <w:r>
              <w:rPr>
                <w:rFonts w:hint="eastAsia" w:ascii="宋体" w:hAnsi="宋体" w:eastAsia="宋体" w:cs="仿宋_GB2312"/>
                <w:spacing w:val="-4"/>
                <w:szCs w:val="21"/>
              </w:rPr>
              <w:t>年</w:t>
            </w:r>
          </w:p>
        </w:tc>
        <w:tc>
          <w:tcPr>
            <w:tcW w:w="1349" w:type="dxa"/>
            <w:tcBorders>
              <w:top w:val="single" w:color="auto" w:sz="4" w:space="0"/>
              <w:left w:val="single" w:color="auto" w:sz="4" w:space="0"/>
              <w:bottom w:val="single" w:color="auto" w:sz="4" w:space="0"/>
              <w:right w:val="single" w:color="auto" w:sz="4" w:space="0"/>
            </w:tcBorders>
            <w:vAlign w:val="center"/>
          </w:tcPr>
          <w:p>
            <w:pPr>
              <w:widowControl w:val="0"/>
              <w:spacing w:after="60"/>
              <w:ind w:firstLine="424" w:firstLineChars="200"/>
              <w:jc w:val="center"/>
              <w:rPr>
                <w:rFonts w:ascii="宋体" w:hAnsi="宋体" w:eastAsia="宋体" w:cs="Arial"/>
                <w:spacing w:val="-4"/>
                <w:szCs w:val="21"/>
              </w:rPr>
            </w:pPr>
            <w:r>
              <w:rPr>
                <w:rFonts w:ascii="宋体" w:hAnsi="宋体" w:eastAsia="宋体" w:cs="Arial"/>
                <w:spacing w:val="-4"/>
                <w:szCs w:val="21"/>
              </w:rPr>
              <w:t>1</w:t>
            </w:r>
            <w:r>
              <w:rPr>
                <w:rFonts w:hint="eastAsia" w:ascii="宋体" w:hAnsi="宋体" w:eastAsia="宋体" w:cs="Arial"/>
                <w:spacing w:val="-4"/>
                <w:szCs w:val="21"/>
              </w:rPr>
              <w:t>5</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val="0"/>
              <w:spacing w:after="60"/>
              <w:jc w:val="center"/>
              <w:rPr>
                <w:rFonts w:ascii="宋体" w:hAnsi="宋体" w:eastAsia="宋体" w:cs="Arial"/>
                <w:spacing w:val="-4"/>
                <w:szCs w:val="21"/>
                <w:highlight w:val="yellow"/>
              </w:rPr>
            </w:pPr>
            <w:r>
              <w:rPr>
                <w:rFonts w:ascii="宋体" w:hAnsi="宋体" w:eastAsia="宋体" w:cs="Arial"/>
                <w:spacing w:val="-4"/>
                <w:szCs w:val="21"/>
              </w:rPr>
              <w:t>15.7</w:t>
            </w:r>
          </w:p>
        </w:tc>
      </w:tr>
    </w:tbl>
    <w:p>
      <w:pPr>
        <w:widowControl w:val="0"/>
        <w:spacing w:after="60"/>
        <w:rPr>
          <w:rFonts w:ascii="仿宋" w:hAnsi="仿宋" w:eastAsia="仿宋" w:cs="仿宋"/>
        </w:rPr>
      </w:pPr>
    </w:p>
    <w:p>
      <w:pPr>
        <w:pStyle w:val="4"/>
        <w:widowControl w:val="0"/>
        <w:spacing w:before="240" w:after="60" w:line="360" w:lineRule="auto"/>
        <w:ind w:firstLine="723" w:firstLineChars="200"/>
        <w:jc w:val="both"/>
        <w:rPr>
          <w:rFonts w:ascii="仿宋" w:hAnsi="仿宋" w:eastAsia="仿宋" w:cs="仿宋"/>
          <w:sz w:val="36"/>
          <w:szCs w:val="20"/>
        </w:rPr>
        <w:pPrChange w:id="5" w:author="文心雕龙" w:date="2021-09-03T15:47:00Z">
          <w:pPr>
            <w:pStyle w:val="4"/>
            <w:widowControl w:val="0"/>
            <w:spacing w:before="240" w:after="60" w:line="360" w:lineRule="auto"/>
            <w:jc w:val="both"/>
          </w:pPr>
        </w:pPrChange>
      </w:pPr>
      <w:bookmarkStart w:id="22" w:name="_Toc24374"/>
      <w:r>
        <w:rPr>
          <w:rFonts w:hint="eastAsia" w:ascii="仿宋" w:hAnsi="仿宋" w:eastAsia="仿宋" w:cs="仿宋"/>
          <w:sz w:val="36"/>
          <w:szCs w:val="20"/>
        </w:rPr>
        <w:t>三、主要任务</w:t>
      </w:r>
      <w:bookmarkEnd w:id="22"/>
    </w:p>
    <w:p>
      <w:pPr>
        <w:pStyle w:val="5"/>
        <w:widowControl w:val="0"/>
        <w:spacing w:before="120" w:after="60" w:line="360" w:lineRule="auto"/>
        <w:ind w:firstLine="562" w:firstLineChars="200"/>
        <w:rPr>
          <w:rFonts w:ascii="仿宋" w:hAnsi="仿宋" w:eastAsia="仿宋" w:cs="仿宋"/>
          <w:sz w:val="28"/>
          <w:szCs w:val="21"/>
        </w:rPr>
      </w:pPr>
      <w:bookmarkStart w:id="23" w:name="_Toc2885"/>
      <w:r>
        <w:rPr>
          <w:rFonts w:hint="eastAsia" w:ascii="仿宋" w:hAnsi="仿宋" w:eastAsia="仿宋" w:cs="仿宋"/>
          <w:sz w:val="28"/>
          <w:szCs w:val="21"/>
        </w:rPr>
        <w:t>（一）基础</w:t>
      </w:r>
      <w:r>
        <w:rPr>
          <w:rFonts w:ascii="仿宋" w:hAnsi="仿宋" w:eastAsia="仿宋" w:cs="仿宋"/>
          <w:sz w:val="28"/>
          <w:szCs w:val="21"/>
        </w:rPr>
        <w:t>设施</w:t>
      </w:r>
      <w:r>
        <w:rPr>
          <w:rFonts w:hint="eastAsia" w:ascii="仿宋" w:hAnsi="仿宋" w:eastAsia="仿宋" w:cs="仿宋"/>
          <w:sz w:val="28"/>
          <w:szCs w:val="21"/>
        </w:rPr>
        <w:t>高效先进建设</w:t>
      </w:r>
      <w:bookmarkEnd w:id="23"/>
    </w:p>
    <w:p>
      <w:pPr>
        <w:widowControl w:val="0"/>
        <w:spacing w:after="60" w:line="360" w:lineRule="auto"/>
        <w:ind w:firstLine="562" w:firstLineChars="200"/>
        <w:jc w:val="both"/>
        <w:rPr>
          <w:rFonts w:ascii="仿宋" w:hAnsi="仿宋" w:eastAsia="仿宋" w:cs="仿宋"/>
          <w:sz w:val="28"/>
          <w:szCs w:val="28"/>
        </w:rPr>
      </w:pPr>
      <w:bookmarkStart w:id="24" w:name="_Toc20519"/>
      <w:r>
        <w:rPr>
          <w:rFonts w:hint="eastAsia" w:ascii="仿宋" w:hAnsi="仿宋" w:eastAsia="仿宋" w:cs="仿宋"/>
          <w:b/>
          <w:bCs/>
          <w:sz w:val="28"/>
          <w:szCs w:val="28"/>
        </w:rPr>
        <w:t>——夯实教育</w:t>
      </w:r>
      <w:r>
        <w:rPr>
          <w:rFonts w:ascii="仿宋" w:hAnsi="仿宋" w:eastAsia="仿宋" w:cs="仿宋"/>
          <w:b/>
          <w:bCs/>
          <w:sz w:val="28"/>
          <w:szCs w:val="28"/>
        </w:rPr>
        <w:t>现代化硬件基础</w:t>
      </w:r>
      <w:r>
        <w:rPr>
          <w:rFonts w:hint="eastAsia" w:ascii="仿宋" w:hAnsi="仿宋" w:eastAsia="仿宋" w:cs="仿宋"/>
          <w:b/>
          <w:bCs/>
          <w:sz w:val="28"/>
          <w:szCs w:val="28"/>
        </w:rPr>
        <w:t>。</w:t>
      </w:r>
      <w:r>
        <w:rPr>
          <w:rFonts w:hint="eastAsia" w:ascii="仿宋" w:hAnsi="仿宋" w:eastAsia="仿宋" w:cs="仿宋"/>
          <w:sz w:val="28"/>
          <w:szCs w:val="28"/>
        </w:rPr>
        <w:t>深入实施“大美鹿城、教育先行”新三年行动计划，优化全区教育资源布局规划，按照“未来学校六度空间”新样态，推进教育基础设施高标准建设。“十四五”期间计划投资87.1亿元，新（续）建学前教育项目51个、新（续）建义务教育项目34个、新建国际教育中心项目1个、扩建职业学校项目1个，实现教育设施布局均衡，教育资源供给充沛，充分满足区域教育现代化发展需要。到2025年，新建改扩建标准化中小学（幼儿园）87个，新增优质教育资源量（学位数）5.59万个左右，基本满足全区学龄人口教育设施需求。</w:t>
      </w:r>
      <w:bookmarkEnd w:id="24"/>
    </w:p>
    <w:p>
      <w:pPr>
        <w:widowControl w:val="0"/>
        <w:spacing w:after="60" w:line="360" w:lineRule="auto"/>
        <w:ind w:firstLine="560" w:firstLineChars="200"/>
        <w:rPr>
          <w:rFonts w:ascii="仿宋" w:hAnsi="仿宋" w:eastAsia="仿宋" w:cs="仿宋"/>
          <w:sz w:val="28"/>
          <w:szCs w:val="28"/>
        </w:rPr>
      </w:pPr>
      <w:r>
        <w:rPr>
          <w:rFonts w:hint="eastAsia" w:ascii="仿宋" w:hAnsi="仿宋" w:eastAsia="仿宋" w:cs="仿宋"/>
          <w:sz w:val="28"/>
          <w:szCs w:val="28"/>
        </w:rPr>
        <w:t>——</w:t>
      </w:r>
      <w:r>
        <w:rPr>
          <w:rFonts w:hint="eastAsia" w:ascii="仿宋" w:hAnsi="仿宋" w:eastAsia="仿宋" w:cs="仿宋"/>
          <w:b/>
          <w:sz w:val="28"/>
          <w:szCs w:val="28"/>
        </w:rPr>
        <w:t>加快智慧教育基础设施建设。</w:t>
      </w:r>
      <w:r>
        <w:rPr>
          <w:rFonts w:hint="eastAsia" w:ascii="仿宋" w:hAnsi="仿宋" w:eastAsia="仿宋" w:cs="仿宋"/>
          <w:sz w:val="28"/>
          <w:szCs w:val="28"/>
        </w:rPr>
        <w:t>筑牢</w:t>
      </w:r>
      <w:r>
        <w:rPr>
          <w:rFonts w:ascii="仿宋" w:hAnsi="仿宋" w:eastAsia="仿宋" w:cs="仿宋"/>
          <w:sz w:val="28"/>
          <w:szCs w:val="28"/>
        </w:rPr>
        <w:t>高平台支撑“</w:t>
      </w:r>
      <w:r>
        <w:rPr>
          <w:rFonts w:hint="eastAsia" w:ascii="仿宋" w:hAnsi="仿宋" w:eastAsia="仿宋" w:cs="仿宋"/>
          <w:sz w:val="28"/>
          <w:szCs w:val="28"/>
        </w:rPr>
        <w:t>新</w:t>
      </w:r>
      <w:r>
        <w:rPr>
          <w:rFonts w:ascii="仿宋" w:hAnsi="仿宋" w:eastAsia="仿宋" w:cs="仿宋"/>
          <w:sz w:val="28"/>
          <w:szCs w:val="28"/>
        </w:rPr>
        <w:t>基建”</w:t>
      </w:r>
      <w:r>
        <w:rPr>
          <w:rFonts w:hint="eastAsia" w:ascii="仿宋" w:hAnsi="仿宋" w:eastAsia="仿宋" w:cs="仿宋"/>
          <w:sz w:val="28"/>
          <w:szCs w:val="28"/>
        </w:rPr>
        <w:t>，</w:t>
      </w:r>
      <w:r>
        <w:rPr>
          <w:rFonts w:hint="eastAsia" w:ascii="仿宋" w:hAnsi="仿宋" w:eastAsia="仿宋" w:cs="仿宋"/>
          <w:sz w:val="28"/>
          <w:szCs w:val="28"/>
          <w:shd w:val="clear" w:color="auto" w:fill="FFFFFF"/>
        </w:rPr>
        <w:t xml:space="preserve"> 立足温州市教育“数字大脑”建设应用先行区、示范区定位，高标准构建具备“科学性、先进性、前瞻性、开放性和可扩展性”的智慧教育基础设施体系，积极创建国家级智慧教育示范区。</w:t>
      </w:r>
      <w:r>
        <w:rPr>
          <w:rFonts w:hint="eastAsia" w:ascii="仿宋" w:hAnsi="仿宋" w:eastAsia="仿宋" w:cs="仿宋"/>
          <w:sz w:val="28"/>
          <w:szCs w:val="28"/>
        </w:rPr>
        <w:t>推进鹿城教育大数据建设，建成投用</w:t>
      </w:r>
      <w:r>
        <w:rPr>
          <w:rFonts w:ascii="仿宋" w:hAnsi="仿宋" w:eastAsia="仿宋" w:cs="仿宋"/>
          <w:sz w:val="28"/>
          <w:szCs w:val="28"/>
        </w:rPr>
        <w:t>“</w:t>
      </w:r>
      <w:r>
        <w:rPr>
          <w:rFonts w:hint="eastAsia" w:ascii="仿宋" w:hAnsi="仿宋" w:eastAsia="仿宋" w:cs="仿宋"/>
          <w:sz w:val="28"/>
          <w:szCs w:val="28"/>
        </w:rPr>
        <w:t>鹿城教育数字</w:t>
      </w:r>
      <w:r>
        <w:rPr>
          <w:rFonts w:ascii="仿宋" w:hAnsi="仿宋" w:eastAsia="仿宋" w:cs="仿宋"/>
          <w:sz w:val="28"/>
          <w:szCs w:val="28"/>
        </w:rPr>
        <w:t>大脑”</w:t>
      </w:r>
      <w:r>
        <w:rPr>
          <w:rFonts w:hint="eastAsia" w:ascii="仿宋" w:hAnsi="仿宋" w:eastAsia="仿宋" w:cs="仿宋"/>
          <w:sz w:val="28"/>
          <w:szCs w:val="28"/>
        </w:rPr>
        <w:t>平台。</w:t>
      </w:r>
      <w:r>
        <w:rPr>
          <w:rFonts w:hint="eastAsia" w:ascii="仿宋" w:hAnsi="仿宋" w:eastAsia="仿宋" w:cs="仿宋"/>
          <w:sz w:val="28"/>
          <w:szCs w:val="28"/>
          <w:shd w:val="clear" w:color="auto" w:fill="FFFFFF"/>
        </w:rPr>
        <w:t>加快各校多媒体教学设备更新换代，塑造多终端应用方便快捷、教育资源丰富开放、业务管理集成整合的校园数字化环境，深化基于技术的教与学方式变革试点，有力支撑教育管理模式变革。</w:t>
      </w:r>
      <w:r>
        <w:rPr>
          <w:rFonts w:hint="eastAsia" w:ascii="仿宋" w:hAnsi="仿宋" w:eastAsia="仿宋" w:cs="仿宋"/>
          <w:sz w:val="28"/>
          <w:szCs w:val="28"/>
        </w:rPr>
        <w:t>到</w:t>
      </w:r>
      <w:r>
        <w:rPr>
          <w:rFonts w:ascii="仿宋" w:hAnsi="仿宋" w:eastAsia="仿宋" w:cs="仿宋"/>
          <w:sz w:val="28"/>
          <w:szCs w:val="28"/>
        </w:rPr>
        <w:t>2025年，</w:t>
      </w:r>
      <w:r>
        <w:rPr>
          <w:rFonts w:hint="eastAsia" w:ascii="仿宋" w:hAnsi="仿宋" w:eastAsia="仿宋" w:cs="仿宋"/>
          <w:sz w:val="28"/>
          <w:szCs w:val="28"/>
        </w:rPr>
        <w:t>实现新型教学空间全覆盖和</w:t>
      </w:r>
      <w:r>
        <w:rPr>
          <w:rFonts w:ascii="仿宋" w:hAnsi="仿宋" w:eastAsia="仿宋" w:cs="仿宋"/>
          <w:sz w:val="28"/>
          <w:szCs w:val="28"/>
        </w:rPr>
        <w:t>5G</w:t>
      </w:r>
      <w:r>
        <w:rPr>
          <w:rFonts w:hint="eastAsia" w:ascii="仿宋" w:hAnsi="仿宋" w:eastAsia="仿宋" w:cs="仿宋"/>
          <w:sz w:val="28"/>
          <w:szCs w:val="28"/>
        </w:rPr>
        <w:t>校园全覆盖。</w:t>
      </w:r>
    </w:p>
    <w:p>
      <w:pPr>
        <w:pStyle w:val="5"/>
        <w:widowControl w:val="0"/>
        <w:spacing w:before="120" w:after="60" w:line="360" w:lineRule="auto"/>
        <w:ind w:firstLine="562" w:firstLineChars="200"/>
        <w:rPr>
          <w:rFonts w:ascii="仿宋" w:hAnsi="仿宋" w:eastAsia="仿宋" w:cs="仿宋"/>
          <w:color w:val="FF0000"/>
          <w:sz w:val="28"/>
          <w:szCs w:val="21"/>
        </w:rPr>
      </w:pPr>
      <w:bookmarkStart w:id="25" w:name="_Toc25428"/>
      <w:r>
        <w:rPr>
          <w:rFonts w:hint="eastAsia" w:ascii="仿宋" w:hAnsi="仿宋" w:eastAsia="仿宋" w:cs="仿宋"/>
          <w:sz w:val="28"/>
          <w:szCs w:val="21"/>
        </w:rPr>
        <w:t>（二）学前教育优质普惠发展</w:t>
      </w:r>
      <w:bookmarkEnd w:id="25"/>
    </w:p>
    <w:p>
      <w:pPr>
        <w:widowControl w:val="0"/>
        <w:spacing w:after="60" w:line="360" w:lineRule="auto"/>
        <w:ind w:firstLine="562" w:firstLineChars="200"/>
        <w:jc w:val="both"/>
        <w:rPr>
          <w:rFonts w:ascii="仿宋" w:hAnsi="仿宋" w:eastAsia="仿宋" w:cs="仿宋"/>
          <w:sz w:val="28"/>
          <w:szCs w:val="28"/>
        </w:rPr>
      </w:pPr>
      <w:r>
        <w:rPr>
          <w:rFonts w:hint="eastAsia" w:ascii="仿宋" w:hAnsi="仿宋" w:eastAsia="仿宋" w:cs="仿宋"/>
          <w:b/>
          <w:bCs/>
          <w:sz w:val="28"/>
          <w:szCs w:val="28"/>
        </w:rPr>
        <w:t>——全面优化学前教育布局结构。</w:t>
      </w:r>
      <w:r>
        <w:rPr>
          <w:rFonts w:hint="eastAsia" w:ascii="仿宋" w:hAnsi="仿宋" w:eastAsia="仿宋" w:cs="仿宋"/>
          <w:sz w:val="28"/>
          <w:szCs w:val="28"/>
        </w:rPr>
        <w:t>学前教育公益优质全面发展，实现学龄前儿童就近入园、普惠入园。加大学期教育经费投入力度，到2025年，财政性学前教育经费占同级财政性教育经费比例达到</w:t>
      </w:r>
      <w:r>
        <w:rPr>
          <w:rFonts w:ascii="仿宋" w:hAnsi="仿宋" w:eastAsia="仿宋" w:cs="仿宋"/>
          <w:sz w:val="28"/>
          <w:szCs w:val="28"/>
        </w:rPr>
        <w:t>9%</w:t>
      </w:r>
      <w:r>
        <w:rPr>
          <w:rFonts w:hint="eastAsia" w:ascii="仿宋" w:hAnsi="仿宋" w:eastAsia="仿宋" w:cs="仿宋"/>
          <w:sz w:val="28"/>
          <w:szCs w:val="28"/>
        </w:rPr>
        <w:t>以上。加快公办幼儿园的建设，公办园覆盖率达到70%以上。进一步扩大公办园覆盖面，解决群众入好园、入公办园的要求。按照“新建一批、改造一批”的思路，实施“点亮乡村童年”计划，加快建设农村幼儿园。</w:t>
      </w:r>
    </w:p>
    <w:p>
      <w:pPr>
        <w:widowControl w:val="0"/>
        <w:spacing w:after="60" w:line="360" w:lineRule="auto"/>
        <w:ind w:firstLine="562" w:firstLineChars="200"/>
        <w:rPr>
          <w:rFonts w:ascii="仿宋" w:hAnsi="仿宋" w:eastAsia="仿宋" w:cs="仿宋"/>
          <w:b/>
          <w:bCs/>
          <w:sz w:val="28"/>
          <w:szCs w:val="28"/>
        </w:rPr>
      </w:pPr>
      <w:r>
        <w:rPr>
          <w:rFonts w:hint="eastAsia" w:ascii="仿宋" w:hAnsi="仿宋" w:eastAsia="仿宋" w:cs="仿宋"/>
          <w:b/>
          <w:bCs/>
          <w:sz w:val="28"/>
          <w:szCs w:val="28"/>
        </w:rPr>
        <w:t>——显著提升学前教育质量品牌。</w:t>
      </w:r>
      <w:r>
        <w:rPr>
          <w:rFonts w:hint="eastAsia" w:ascii="仿宋" w:hAnsi="仿宋" w:eastAsia="仿宋" w:cs="仿宋"/>
          <w:sz w:val="28"/>
          <w:szCs w:val="28"/>
        </w:rPr>
        <w:t>高质量推进学前教育建设，发挥“浙江省实施《3-6岁儿童学习与发展指南》实验区”“温州市学前教育先进区”品牌优势，提升鹿城学前教育美誉度。持续支持第二幼儿园的创想纸艺、第六幼儿园的音乐教育、第九幼儿园的意象绘画等幼儿园特色课程的挖掘、开发，推广游戏</w:t>
      </w:r>
      <w:r>
        <w:rPr>
          <w:rFonts w:ascii="仿宋" w:hAnsi="仿宋" w:eastAsia="仿宋" w:cs="仿宋"/>
          <w:sz w:val="28"/>
          <w:szCs w:val="28"/>
        </w:rPr>
        <w:t>教学</w:t>
      </w:r>
      <w:r>
        <w:rPr>
          <w:rFonts w:hint="eastAsia" w:ascii="仿宋" w:hAnsi="仿宋" w:eastAsia="仿宋" w:cs="仿宋"/>
          <w:sz w:val="28"/>
          <w:szCs w:val="28"/>
        </w:rPr>
        <w:t>，形成鹿城幼教的示范辐射效应。实施区内名园结对，区内名园集团、城乡互助共同体资源有效运作，打造具有区域性知名度的“一园一品”学前教育品质工程。到2025年</w:t>
      </w:r>
      <w:r>
        <w:rPr>
          <w:rFonts w:ascii="仿宋" w:hAnsi="仿宋" w:eastAsia="仿宋" w:cs="仿宋"/>
          <w:sz w:val="28"/>
          <w:szCs w:val="28"/>
        </w:rPr>
        <w:t>，</w:t>
      </w:r>
      <w:r>
        <w:rPr>
          <w:rFonts w:hint="eastAsia" w:ascii="仿宋" w:hAnsi="仿宋" w:eastAsia="仿宋" w:cs="仿宋"/>
          <w:sz w:val="28"/>
          <w:szCs w:val="28"/>
        </w:rPr>
        <w:t>等级园覆盖率达到 99.8 %、优质园（二级及以上幼儿园）覆盖率达到</w:t>
      </w:r>
      <w:r>
        <w:rPr>
          <w:rFonts w:ascii="仿宋" w:hAnsi="仿宋" w:eastAsia="仿宋" w:cs="仿宋"/>
          <w:sz w:val="28"/>
          <w:szCs w:val="28"/>
        </w:rPr>
        <w:t>80%</w:t>
      </w:r>
      <w:r>
        <w:rPr>
          <w:rFonts w:hint="eastAsia" w:ascii="仿宋" w:hAnsi="仿宋" w:eastAsia="仿宋" w:cs="仿宋"/>
          <w:sz w:val="28"/>
          <w:szCs w:val="28"/>
        </w:rPr>
        <w:t>，争取创成省级学前教育普及普惠区，</w:t>
      </w:r>
      <w:r>
        <w:rPr>
          <w:rFonts w:ascii="仿宋" w:hAnsi="仿宋" w:eastAsia="仿宋" w:cs="仿宋"/>
          <w:sz w:val="28"/>
          <w:szCs w:val="28"/>
        </w:rPr>
        <w:t>形成具有鹿城特色的学</w:t>
      </w:r>
      <w:r>
        <w:rPr>
          <w:rFonts w:hint="eastAsia" w:ascii="仿宋" w:hAnsi="仿宋" w:eastAsia="仿宋" w:cs="仿宋"/>
          <w:sz w:val="28"/>
          <w:szCs w:val="28"/>
        </w:rPr>
        <w:t>前</w:t>
      </w:r>
      <w:r>
        <w:rPr>
          <w:rFonts w:ascii="仿宋" w:hAnsi="仿宋" w:eastAsia="仿宋" w:cs="仿宋"/>
          <w:sz w:val="28"/>
          <w:szCs w:val="28"/>
        </w:rPr>
        <w:t>教育品牌。</w:t>
      </w:r>
    </w:p>
    <w:p>
      <w:pPr>
        <w:widowControl w:val="0"/>
        <w:spacing w:after="60" w:line="360" w:lineRule="auto"/>
        <w:ind w:firstLine="562" w:firstLineChars="200"/>
        <w:rPr>
          <w:rFonts w:ascii="仿宋" w:hAnsi="仿宋" w:eastAsia="仿宋" w:cs="仿宋"/>
          <w:sz w:val="28"/>
          <w:szCs w:val="28"/>
        </w:rPr>
      </w:pPr>
      <w:r>
        <w:rPr>
          <w:rFonts w:hint="eastAsia" w:ascii="仿宋" w:hAnsi="仿宋" w:eastAsia="仿宋" w:cs="仿宋"/>
          <w:b/>
          <w:bCs/>
          <w:sz w:val="28"/>
          <w:szCs w:val="28"/>
        </w:rPr>
        <w:t>——大力</w:t>
      </w:r>
      <w:r>
        <w:rPr>
          <w:rFonts w:ascii="仿宋" w:hAnsi="仿宋" w:eastAsia="仿宋" w:cs="仿宋"/>
          <w:b/>
          <w:bCs/>
          <w:sz w:val="28"/>
          <w:szCs w:val="28"/>
        </w:rPr>
        <w:t>推动</w:t>
      </w:r>
      <w:r>
        <w:rPr>
          <w:rFonts w:hint="eastAsia" w:ascii="仿宋" w:hAnsi="仿宋" w:eastAsia="仿宋" w:cs="仿宋"/>
          <w:b/>
          <w:bCs/>
          <w:sz w:val="28"/>
          <w:szCs w:val="28"/>
        </w:rPr>
        <w:t>学前教育开放办学。</w:t>
      </w:r>
      <w:r>
        <w:rPr>
          <w:rFonts w:hint="eastAsia" w:ascii="仿宋" w:hAnsi="仿宋" w:eastAsia="仿宋" w:cs="仿宋"/>
          <w:sz w:val="28"/>
          <w:szCs w:val="28"/>
        </w:rPr>
        <w:t>与高校开展合作，引进优秀学前教育品牌机构等，推动鹿城区公、民办幼儿园的品牌化发展。依法支持学前教育优质民办园发展，规范民办幼儿园办学行为，引导民办幼儿园建立健全教学质量保障体系，树立民办教育立德树人特色品牌。按照“五同步”要求，进一步完善小区配套幼儿园建设和管理机制，加强民办幼儿园规范化建设。</w:t>
      </w:r>
    </w:p>
    <w:p>
      <w:pPr>
        <w:pStyle w:val="5"/>
        <w:widowControl w:val="0"/>
        <w:spacing w:before="120" w:after="60" w:line="360" w:lineRule="auto"/>
        <w:ind w:firstLine="562" w:firstLineChars="200"/>
        <w:rPr>
          <w:rFonts w:ascii="仿宋" w:hAnsi="仿宋" w:eastAsia="仿宋" w:cs="仿宋"/>
          <w:sz w:val="28"/>
          <w:szCs w:val="21"/>
        </w:rPr>
      </w:pPr>
      <w:bookmarkStart w:id="26" w:name="_Toc28002"/>
      <w:r>
        <w:rPr>
          <w:rFonts w:hint="eastAsia" w:ascii="仿宋" w:hAnsi="仿宋" w:eastAsia="仿宋" w:cs="仿宋"/>
          <w:sz w:val="28"/>
          <w:szCs w:val="21"/>
        </w:rPr>
        <w:t>（三）义务教育优质均衡发展</w:t>
      </w:r>
      <w:bookmarkEnd w:id="26"/>
    </w:p>
    <w:p>
      <w:pPr>
        <w:widowControl w:val="0"/>
        <w:spacing w:after="60" w:line="360" w:lineRule="auto"/>
        <w:ind w:firstLine="562" w:firstLineChars="200"/>
        <w:jc w:val="both"/>
        <w:rPr>
          <w:rFonts w:ascii="仿宋" w:hAnsi="仿宋" w:eastAsia="仿宋" w:cs="仿宋"/>
          <w:sz w:val="28"/>
          <w:szCs w:val="28"/>
        </w:rPr>
      </w:pPr>
      <w:r>
        <w:rPr>
          <w:rFonts w:hint="eastAsia" w:ascii="仿宋" w:hAnsi="仿宋" w:eastAsia="仿宋" w:cs="仿宋"/>
          <w:b/>
          <w:bCs/>
          <w:sz w:val="28"/>
          <w:szCs w:val="28"/>
        </w:rPr>
        <w:t>——强化优质资源培育，促进义务教育高位均衡。</w:t>
      </w:r>
      <w:r>
        <w:rPr>
          <w:rFonts w:hint="eastAsia" w:ascii="仿宋" w:hAnsi="仿宋" w:eastAsia="仿宋" w:cs="仿宋"/>
          <w:sz w:val="28"/>
          <w:szCs w:val="28"/>
        </w:rPr>
        <w:t>加快义务教育阶段学校标准化建设，合理配置教育资源，全面落实义务教育就近入学制度，实现“让每一个儿童都能够在家门口上学，上好学”。以师资优质均衡带动全区义务教育的优质均衡，健全校长教师交流的常态化机制，每年专任教师交流人数不少于符合交流条件人数的11%；骨干教师交流人数不少于符合交流条件人数的30%。建立中小学集团校与普通校之间的流动桥梁，重点建立小学集团校与乡镇薄弱学校之间的共建制度。所有乡镇学校与城区优质学校组建城乡教育共同体，吸纳集团校资源优势，优化农村初中师资结构，明显提升城乡教育共同体办学效益，进一步破解“择校热”“学区房热”等难题高水平创成全国义务教育优质均衡发展区、浙江省教育现代化区，到2025年，实现义务教育城乡共同体、公办义务教育学校集团化办学全覆盖，城乡教育共同体比例不低于</w:t>
      </w:r>
      <w:r>
        <w:rPr>
          <w:rFonts w:ascii="仿宋" w:hAnsi="仿宋" w:eastAsia="仿宋" w:cs="仿宋"/>
          <w:sz w:val="28"/>
          <w:szCs w:val="28"/>
        </w:rPr>
        <w:t>7</w:t>
      </w:r>
      <w:r>
        <w:rPr>
          <w:rFonts w:hint="eastAsia" w:ascii="仿宋" w:hAnsi="仿宋" w:eastAsia="仿宋" w:cs="仿宋"/>
          <w:sz w:val="28"/>
          <w:szCs w:val="28"/>
        </w:rPr>
        <w:t>0%，义务教育阶段省现代化学校达到30%以上。</w:t>
      </w:r>
    </w:p>
    <w:p>
      <w:pPr>
        <w:widowControl w:val="0"/>
        <w:spacing w:after="60" w:line="360" w:lineRule="auto"/>
        <w:ind w:firstLine="562" w:firstLineChars="200"/>
        <w:rPr>
          <w:rFonts w:ascii="仿宋" w:hAnsi="仿宋" w:eastAsia="仿宋" w:cs="仿宋"/>
          <w:sz w:val="28"/>
          <w:szCs w:val="28"/>
        </w:rPr>
      </w:pPr>
      <w:r>
        <w:rPr>
          <w:rFonts w:hint="eastAsia" w:ascii="仿宋" w:hAnsi="仿宋" w:eastAsia="仿宋" w:cs="仿宋"/>
          <w:b/>
          <w:bCs/>
          <w:sz w:val="28"/>
          <w:szCs w:val="28"/>
        </w:rPr>
        <w:t>——发挥特色资源优势，提升教育集团化办学成效。</w:t>
      </w:r>
      <w:r>
        <w:rPr>
          <w:rFonts w:hint="eastAsia" w:ascii="仿宋" w:hAnsi="仿宋" w:eastAsia="仿宋" w:cs="仿宋"/>
          <w:sz w:val="28"/>
          <w:szCs w:val="28"/>
        </w:rPr>
        <w:t>制定区内名校发展五年规划，实施名校分校向资源薄弱区域延伸。深化“互联网</w:t>
      </w:r>
      <w:r>
        <w:rPr>
          <w:rFonts w:ascii="仿宋" w:hAnsi="仿宋" w:eastAsia="仿宋" w:cs="仿宋"/>
          <w:sz w:val="28"/>
          <w:szCs w:val="28"/>
        </w:rPr>
        <w:t>+</w:t>
      </w:r>
      <w:r>
        <w:rPr>
          <w:rFonts w:hint="eastAsia" w:ascii="仿宋" w:hAnsi="仿宋" w:eastAsia="仿宋" w:cs="仿宋"/>
          <w:sz w:val="28"/>
          <w:szCs w:val="28"/>
        </w:rPr>
        <w:t>义务教育”结对帮扶，深度推进城乡义务教育共同体建设。建成一批知名的集团化名校分校，进一步丰富鹿城区优质教育资源。充分发挥中小学集团化办学示范成效，实施个性化教育，进一步扩大温州市实验中学、温州市第六中学、广场路小学、建设小学、蒲鞋市小学、瓦市小学等13所集团名校在省内外的美誉度，擦亮义务教育的金名片，全面实现高质量均衡的办学目标。</w:t>
      </w:r>
    </w:p>
    <w:p>
      <w:pPr>
        <w:widowControl w:val="0"/>
        <w:spacing w:after="60" w:line="360" w:lineRule="auto"/>
        <w:ind w:firstLine="562" w:firstLineChars="200"/>
        <w:rPr>
          <w:rFonts w:ascii="仿宋" w:hAnsi="仿宋" w:eastAsia="仿宋" w:cs="仿宋"/>
          <w:sz w:val="28"/>
          <w:szCs w:val="28"/>
        </w:rPr>
      </w:pPr>
      <w:r>
        <w:rPr>
          <w:rFonts w:hint="eastAsia" w:ascii="仿宋" w:hAnsi="仿宋" w:eastAsia="仿宋" w:cs="仿宋"/>
          <w:b/>
          <w:bCs/>
          <w:sz w:val="28"/>
          <w:szCs w:val="28"/>
        </w:rPr>
        <w:t>——立足优质学校品牌优势，扩大鹿城教育品牌影响度。</w:t>
      </w:r>
      <w:r>
        <w:rPr>
          <w:rFonts w:hint="eastAsia" w:ascii="仿宋" w:hAnsi="仿宋" w:eastAsia="仿宋" w:cs="仿宋"/>
          <w:sz w:val="28"/>
          <w:szCs w:val="28"/>
        </w:rPr>
        <w:t>发挥优质学校品牌示范作用，培育一批新型教育共同体。充分挖掘各中小学校个性化、特色化资源，营造浓郁的中小学体育艺术文化氛围，培植一批区域性特色名校。在继续支持少艺校等“5朵金花”传统优势项目</w:t>
      </w:r>
      <w:r>
        <w:rPr>
          <w:rFonts w:ascii="仿宋" w:hAnsi="仿宋" w:eastAsia="仿宋" w:cs="仿宋"/>
          <w:sz w:val="28"/>
          <w:szCs w:val="28"/>
        </w:rPr>
        <w:t>的基础上</w:t>
      </w:r>
      <w:r>
        <w:rPr>
          <w:rFonts w:hint="eastAsia" w:ascii="仿宋" w:hAnsi="仿宋" w:eastAsia="仿宋" w:cs="仿宋"/>
          <w:sz w:val="28"/>
          <w:szCs w:val="28"/>
        </w:rPr>
        <w:t>，创新培育“新五朵金花+”工程。制定《鹿城区未来特色</w:t>
      </w:r>
      <w:r>
        <w:rPr>
          <w:rFonts w:ascii="仿宋" w:hAnsi="仿宋" w:eastAsia="仿宋" w:cs="仿宋"/>
          <w:sz w:val="28"/>
          <w:szCs w:val="28"/>
        </w:rPr>
        <w:t>教育品牌</w:t>
      </w:r>
      <w:r>
        <w:rPr>
          <w:rFonts w:hint="eastAsia" w:ascii="仿宋" w:hAnsi="仿宋" w:eastAsia="仿宋" w:cs="仿宋"/>
          <w:sz w:val="28"/>
          <w:szCs w:val="28"/>
        </w:rPr>
        <w:t>创新</w:t>
      </w:r>
      <w:r>
        <w:rPr>
          <w:rFonts w:ascii="仿宋" w:hAnsi="仿宋" w:eastAsia="仿宋" w:cs="仿宋"/>
          <w:sz w:val="28"/>
          <w:szCs w:val="28"/>
        </w:rPr>
        <w:t>计划</w:t>
      </w:r>
      <w:r>
        <w:rPr>
          <w:rFonts w:hint="eastAsia" w:ascii="仿宋" w:hAnsi="仿宋" w:eastAsia="仿宋" w:cs="仿宋"/>
          <w:sz w:val="28"/>
          <w:szCs w:val="28"/>
        </w:rPr>
        <w:t>》，出台创</w:t>
      </w:r>
      <w:r>
        <w:rPr>
          <w:rFonts w:ascii="仿宋" w:hAnsi="仿宋" w:eastAsia="仿宋" w:cs="仿宋"/>
          <w:sz w:val="28"/>
          <w:szCs w:val="28"/>
        </w:rPr>
        <w:t>特培优</w:t>
      </w:r>
      <w:r>
        <w:rPr>
          <w:rFonts w:hint="eastAsia" w:ascii="仿宋" w:hAnsi="仿宋" w:eastAsia="仿宋" w:cs="仿宋"/>
          <w:sz w:val="28"/>
          <w:szCs w:val="28"/>
        </w:rPr>
        <w:t>政策</w:t>
      </w:r>
      <w:r>
        <w:rPr>
          <w:rFonts w:ascii="仿宋" w:hAnsi="仿宋" w:eastAsia="仿宋" w:cs="仿宋"/>
          <w:sz w:val="28"/>
          <w:szCs w:val="28"/>
        </w:rPr>
        <w:t>，</w:t>
      </w:r>
      <w:r>
        <w:rPr>
          <w:rFonts w:hint="eastAsia" w:ascii="仿宋" w:hAnsi="仿宋" w:eastAsia="仿宋" w:cs="仿宋"/>
          <w:sz w:val="28"/>
          <w:szCs w:val="28"/>
        </w:rPr>
        <w:t>突出</w:t>
      </w:r>
      <w:r>
        <w:rPr>
          <w:rFonts w:ascii="仿宋" w:hAnsi="仿宋" w:eastAsia="仿宋" w:cs="仿宋"/>
          <w:sz w:val="28"/>
          <w:szCs w:val="28"/>
        </w:rPr>
        <w:t>鹿城</w:t>
      </w:r>
      <w:r>
        <w:rPr>
          <w:rFonts w:hint="eastAsia" w:ascii="仿宋" w:hAnsi="仿宋" w:eastAsia="仿宋" w:cs="仿宋"/>
          <w:sz w:val="28"/>
          <w:szCs w:val="28"/>
        </w:rPr>
        <w:t>元素</w:t>
      </w:r>
      <w:r>
        <w:rPr>
          <w:rFonts w:ascii="仿宋" w:hAnsi="仿宋" w:eastAsia="仿宋" w:cs="仿宋"/>
          <w:sz w:val="28"/>
          <w:szCs w:val="28"/>
        </w:rPr>
        <w:t>，</w:t>
      </w:r>
      <w:r>
        <w:rPr>
          <w:rFonts w:hint="eastAsia" w:ascii="仿宋" w:hAnsi="仿宋" w:eastAsia="仿宋" w:cs="仿宋"/>
          <w:sz w:val="28"/>
          <w:szCs w:val="28"/>
        </w:rPr>
        <w:t>打造在区域内叫得响，全省能知名，全国能上榜的特色优质教育品牌。培养输送一大批艺术人才，努力培育引领未来的时代新人。</w:t>
      </w:r>
    </w:p>
    <w:p>
      <w:pPr>
        <w:widowControl w:val="0"/>
        <w:spacing w:after="60" w:line="360" w:lineRule="auto"/>
        <w:ind w:firstLine="562" w:firstLineChars="200"/>
        <w:rPr>
          <w:rFonts w:ascii="仿宋" w:hAnsi="仿宋" w:eastAsia="仿宋" w:cs="仿宋"/>
          <w:sz w:val="28"/>
          <w:szCs w:val="28"/>
        </w:rPr>
      </w:pPr>
      <w:r>
        <w:rPr>
          <w:rFonts w:hint="eastAsia" w:ascii="仿宋" w:hAnsi="仿宋" w:eastAsia="仿宋" w:cs="仿宋"/>
          <w:b/>
          <w:bCs/>
          <w:sz w:val="28"/>
          <w:szCs w:val="28"/>
        </w:rPr>
        <w:t>——公平、质量两手抓，打造初中教育新生态。</w:t>
      </w:r>
      <w:r>
        <w:rPr>
          <w:rFonts w:hint="eastAsia" w:ascii="仿宋" w:hAnsi="仿宋" w:eastAsia="仿宋" w:cs="仿宋"/>
          <w:sz w:val="28"/>
          <w:szCs w:val="28"/>
        </w:rPr>
        <w:t>贯彻落实浙江省教育厅《关于加强初中教育的指导意见》，按照高质量均衡发展与学生身心健康全面发展“两个发展”新目标，把牢“优质均衡、活力充盈、特色鲜明、生态和谐”十六字新标准，全面提升初中学校办学水平和教育质量。到2025年，初中资源配置优质均衡校际差异系数小于</w:t>
      </w:r>
      <w:r>
        <w:rPr>
          <w:rFonts w:ascii="仿宋" w:hAnsi="仿宋" w:eastAsia="仿宋" w:cs="仿宋"/>
          <w:sz w:val="28"/>
          <w:szCs w:val="28"/>
        </w:rPr>
        <w:t>0.20</w:t>
      </w:r>
      <w:r>
        <w:rPr>
          <w:rFonts w:hint="eastAsia" w:ascii="仿宋" w:hAnsi="仿宋" w:eastAsia="仿宋" w:cs="仿宋"/>
          <w:sz w:val="28"/>
          <w:szCs w:val="28"/>
        </w:rPr>
        <w:t>，初中标准化学校比例达100%。</w:t>
      </w:r>
    </w:p>
    <w:p>
      <w:pPr>
        <w:pStyle w:val="2"/>
        <w:rPr>
          <w:rFonts w:ascii="仿宋" w:hAnsi="仿宋" w:eastAsia="仿宋" w:cs="仿宋"/>
          <w:szCs w:val="28"/>
        </w:rPr>
      </w:pPr>
      <w:r>
        <w:rPr>
          <w:rFonts w:hint="eastAsia" w:ascii="仿宋" w:hAnsi="仿宋" w:eastAsia="仿宋" w:cs="仿宋"/>
          <w:b/>
          <w:bCs/>
          <w:szCs w:val="28"/>
        </w:rPr>
        <w:t>——落实义务教育“双减”，促进学生全面健康成长。</w:t>
      </w:r>
      <w:r>
        <w:rPr>
          <w:rFonts w:hint="eastAsia" w:ascii="仿宋" w:hAnsi="仿宋" w:eastAsia="仿宋" w:cs="仿宋"/>
          <w:szCs w:val="28"/>
        </w:rPr>
        <w:t>全面贯彻落实党中央、国务院“双减”工作部署以及《浙江省进一步减轻义务教育阶段学生作业负担和校外培训负担实施方案》，大力压减中小学生作业总量与时长，扎实推进以“减作业、增睡眠，减补习、增运动，减刷题、增实践”为重点的减负行动。全面开展学校课后服务和暑期托管服务；同时深化校外培训机构治理，强化校外培训机构营销监管，加强</w:t>
      </w:r>
      <w:r>
        <w:rPr>
          <w:rFonts w:ascii="仿宋" w:hAnsi="仿宋" w:eastAsia="仿宋" w:cs="仿宋"/>
          <w:szCs w:val="28"/>
        </w:rPr>
        <w:t>“</w:t>
      </w:r>
      <w:r>
        <w:rPr>
          <w:rFonts w:hint="eastAsia" w:ascii="仿宋" w:hAnsi="仿宋" w:eastAsia="仿宋" w:cs="仿宋"/>
          <w:szCs w:val="28"/>
        </w:rPr>
        <w:t>双减</w:t>
      </w:r>
      <w:r>
        <w:rPr>
          <w:rFonts w:ascii="仿宋" w:hAnsi="仿宋" w:eastAsia="仿宋" w:cs="仿宋"/>
          <w:szCs w:val="28"/>
        </w:rPr>
        <w:t>”</w:t>
      </w:r>
      <w:r>
        <w:rPr>
          <w:rFonts w:hint="eastAsia" w:ascii="仿宋" w:hAnsi="仿宋" w:eastAsia="仿宋" w:cs="仿宋"/>
          <w:szCs w:val="28"/>
        </w:rPr>
        <w:t>督查</w:t>
      </w:r>
      <w:r>
        <w:rPr>
          <w:rFonts w:ascii="仿宋" w:hAnsi="仿宋" w:eastAsia="仿宋" w:cs="仿宋"/>
          <w:szCs w:val="28"/>
        </w:rPr>
        <w:t>问责，</w:t>
      </w:r>
      <w:r>
        <w:rPr>
          <w:rFonts w:hint="eastAsia" w:ascii="仿宋" w:hAnsi="仿宋" w:eastAsia="仿宋" w:cs="仿宋"/>
          <w:szCs w:val="28"/>
        </w:rPr>
        <w:t>严肃查处教师校外有偿补课行为，多管齐下减轻义务教育阶段学生作业负担和校外培训负担。</w:t>
      </w:r>
    </w:p>
    <w:p>
      <w:pPr>
        <w:widowControl w:val="0"/>
        <w:spacing w:after="60" w:line="360" w:lineRule="auto"/>
        <w:ind w:firstLine="562" w:firstLineChars="200"/>
        <w:rPr>
          <w:rFonts w:ascii="仿宋" w:hAnsi="仿宋" w:eastAsia="仿宋" w:cs="仿宋"/>
          <w:sz w:val="28"/>
          <w:szCs w:val="28"/>
        </w:rPr>
      </w:pPr>
      <w:r>
        <w:rPr>
          <w:rFonts w:hint="eastAsia" w:ascii="仿宋" w:hAnsi="仿宋" w:eastAsia="仿宋" w:cs="仿宋"/>
          <w:b/>
          <w:bCs/>
          <w:sz w:val="28"/>
          <w:szCs w:val="28"/>
        </w:rPr>
        <w:t>——规范义务教育办学，提升办学综合水平。</w:t>
      </w:r>
      <w:r>
        <w:rPr>
          <w:rFonts w:hint="eastAsia" w:ascii="仿宋" w:hAnsi="仿宋" w:eastAsia="仿宋" w:cs="仿宋"/>
          <w:sz w:val="28"/>
          <w:szCs w:val="28"/>
        </w:rPr>
        <w:t>全面落实公、民同招政策，促进民办学校健康发展。深入贯彻《关于规范民办义务教育发展的实施意见》《教育部关于规范公办学校举办或者参与举办民办义务教育学校的通知》，加强民办义务教育规范管理，规范调整薄弱民办学校，理顺机制体制，促进</w:t>
      </w:r>
      <w:r>
        <w:rPr>
          <w:rFonts w:ascii="仿宋" w:hAnsi="仿宋" w:eastAsia="仿宋" w:cs="仿宋"/>
          <w:sz w:val="28"/>
          <w:szCs w:val="28"/>
        </w:rPr>
        <w:t>现代学校制度建设</w:t>
      </w:r>
      <w:r>
        <w:rPr>
          <w:rFonts w:hint="eastAsia" w:ascii="仿宋" w:hAnsi="仿宋" w:eastAsia="仿宋" w:cs="仿宋"/>
          <w:sz w:val="28"/>
          <w:szCs w:val="28"/>
        </w:rPr>
        <w:t>。在</w:t>
      </w:r>
      <w:r>
        <w:rPr>
          <w:rFonts w:ascii="仿宋" w:hAnsi="仿宋" w:eastAsia="仿宋" w:cs="仿宋"/>
          <w:sz w:val="28"/>
          <w:szCs w:val="28"/>
        </w:rPr>
        <w:t>师资队伍、课程改革、教学</w:t>
      </w:r>
      <w:r>
        <w:rPr>
          <w:rFonts w:hint="eastAsia" w:ascii="仿宋" w:hAnsi="仿宋" w:eastAsia="仿宋" w:cs="仿宋"/>
          <w:sz w:val="28"/>
          <w:szCs w:val="28"/>
        </w:rPr>
        <w:t>管理</w:t>
      </w:r>
      <w:r>
        <w:rPr>
          <w:rFonts w:ascii="仿宋" w:hAnsi="仿宋" w:eastAsia="仿宋" w:cs="仿宋"/>
          <w:sz w:val="28"/>
          <w:szCs w:val="28"/>
        </w:rPr>
        <w:t>、教育科研等方面</w:t>
      </w:r>
      <w:r>
        <w:rPr>
          <w:rFonts w:hint="eastAsia" w:ascii="仿宋" w:hAnsi="仿宋" w:eastAsia="仿宋" w:cs="仿宋"/>
          <w:sz w:val="28"/>
          <w:szCs w:val="28"/>
        </w:rPr>
        <w:t>加强业务</w:t>
      </w:r>
      <w:r>
        <w:rPr>
          <w:rFonts w:ascii="仿宋" w:hAnsi="仿宋" w:eastAsia="仿宋" w:cs="仿宋"/>
          <w:sz w:val="28"/>
          <w:szCs w:val="28"/>
        </w:rPr>
        <w:t>指导，促进民办学校</w:t>
      </w:r>
      <w:r>
        <w:rPr>
          <w:rFonts w:hint="eastAsia" w:ascii="仿宋" w:hAnsi="仿宋" w:eastAsia="仿宋" w:cs="仿宋"/>
          <w:sz w:val="28"/>
          <w:szCs w:val="28"/>
        </w:rPr>
        <w:t>特色化、差异化发展。建立</w:t>
      </w:r>
      <w:r>
        <w:rPr>
          <w:rFonts w:ascii="仿宋" w:hAnsi="仿宋" w:eastAsia="仿宋" w:cs="仿宋"/>
          <w:sz w:val="28"/>
          <w:szCs w:val="28"/>
        </w:rPr>
        <w:t>公、民办学校师资</w:t>
      </w:r>
      <w:r>
        <w:rPr>
          <w:rFonts w:hint="eastAsia" w:ascii="仿宋" w:hAnsi="仿宋" w:eastAsia="仿宋" w:cs="仿宋"/>
          <w:sz w:val="28"/>
          <w:szCs w:val="28"/>
        </w:rPr>
        <w:t>互动</w:t>
      </w:r>
      <w:r>
        <w:rPr>
          <w:rFonts w:ascii="仿宋" w:hAnsi="仿宋" w:eastAsia="仿宋" w:cs="仿宋"/>
          <w:sz w:val="28"/>
          <w:szCs w:val="28"/>
        </w:rPr>
        <w:t>交流机制，</w:t>
      </w:r>
      <w:r>
        <w:rPr>
          <w:rFonts w:hint="eastAsia" w:ascii="仿宋" w:hAnsi="仿宋" w:eastAsia="仿宋" w:cs="仿宋"/>
          <w:sz w:val="28"/>
          <w:szCs w:val="28"/>
        </w:rPr>
        <w:t>支持民办学校建立教师从教奖励和保障制度。保障外来务工人员子女教育机会，优化与居住证制度相适宜的外来务工人员子女教育保障体系。</w:t>
      </w:r>
    </w:p>
    <w:p>
      <w:pPr>
        <w:pStyle w:val="5"/>
        <w:widowControl w:val="0"/>
        <w:spacing w:before="120" w:after="60" w:line="360" w:lineRule="auto"/>
        <w:ind w:firstLine="562" w:firstLineChars="200"/>
        <w:rPr>
          <w:rFonts w:ascii="仿宋" w:hAnsi="仿宋" w:eastAsia="仿宋" w:cs="仿宋"/>
          <w:sz w:val="28"/>
          <w:szCs w:val="21"/>
        </w:rPr>
      </w:pPr>
      <w:bookmarkStart w:id="27" w:name="_Toc25532"/>
      <w:r>
        <w:rPr>
          <w:rFonts w:hint="eastAsia" w:ascii="仿宋" w:hAnsi="仿宋" w:eastAsia="仿宋" w:cs="仿宋"/>
          <w:sz w:val="28"/>
          <w:szCs w:val="21"/>
        </w:rPr>
        <w:t>（四）终身教育共享开放发展</w:t>
      </w:r>
      <w:bookmarkEnd w:id="27"/>
    </w:p>
    <w:p>
      <w:pPr>
        <w:widowControl w:val="0"/>
        <w:spacing w:after="60" w:line="360" w:lineRule="auto"/>
        <w:ind w:firstLine="564"/>
        <w:jc w:val="both"/>
        <w:rPr>
          <w:rFonts w:ascii="仿宋" w:hAnsi="仿宋" w:eastAsia="仿宋" w:cs="仿宋"/>
          <w:sz w:val="28"/>
          <w:szCs w:val="28"/>
        </w:rPr>
      </w:pPr>
      <w:r>
        <w:rPr>
          <w:rFonts w:hint="eastAsia" w:ascii="仿宋" w:hAnsi="仿宋" w:eastAsia="仿宋" w:cs="仿宋"/>
          <w:b/>
          <w:bCs/>
          <w:sz w:val="28"/>
          <w:szCs w:val="28"/>
        </w:rPr>
        <w:t>——推动职业教育高质量发展。</w:t>
      </w:r>
      <w:r>
        <w:rPr>
          <w:rFonts w:hint="eastAsia" w:ascii="仿宋" w:hAnsi="仿宋" w:eastAsia="仿宋" w:cs="仿宋"/>
          <w:bCs/>
          <w:sz w:val="28"/>
          <w:szCs w:val="28"/>
        </w:rPr>
        <w:t>2023年完成温州市轻工职业学校扩建工程，2025年前按省现代化学校标准选址新建新校区，打造全国一流的轻工职业教育集团名校。</w:t>
      </w:r>
      <w:r>
        <w:rPr>
          <w:rFonts w:hint="eastAsia" w:ascii="仿宋" w:hAnsi="仿宋" w:eastAsia="仿宋" w:cs="仿宋"/>
          <w:sz w:val="28"/>
          <w:szCs w:val="28"/>
        </w:rPr>
        <w:t>努力建设浙江省“高水平专业群”，坚持产业、行业、企业、职业和专业等“五业”联动，全面</w:t>
      </w:r>
      <w:r>
        <w:rPr>
          <w:rFonts w:ascii="仿宋" w:hAnsi="仿宋" w:eastAsia="仿宋" w:cs="仿宋"/>
          <w:sz w:val="28"/>
          <w:szCs w:val="28"/>
        </w:rPr>
        <w:t>推进</w:t>
      </w:r>
      <w:r>
        <w:rPr>
          <w:rFonts w:hint="eastAsia" w:ascii="仿宋" w:hAnsi="仿宋" w:eastAsia="仿宋" w:cs="仿宋"/>
          <w:sz w:val="28"/>
          <w:szCs w:val="28"/>
        </w:rPr>
        <w:t>校企共同体“十百千万”工程，创建具有区域影响力的产教融合品牌。进一步推动职业教育中高职一体化发展，以“专业集群化”引领学校高质量发展。持续提升技术技能人才培养质量，增强学校区域经济社会服务能力。引进国内先进的制鞋工业研究机构，搭建鞋都市场技能型人才培养服务平台，打造区域性数字贸易技术技能人才培养中心，助力“中国鞋都”向“世界鞋都”跨越。发挥学校</w:t>
      </w:r>
      <w:r>
        <w:rPr>
          <w:rFonts w:ascii="仿宋" w:hAnsi="仿宋" w:eastAsia="仿宋" w:cs="仿宋"/>
          <w:sz w:val="28"/>
          <w:szCs w:val="28"/>
        </w:rPr>
        <w:t>资源优势和职业教育特色，</w:t>
      </w:r>
      <w:r>
        <w:rPr>
          <w:rFonts w:hint="eastAsia" w:ascii="仿宋" w:hAnsi="仿宋" w:eastAsia="仿宋" w:cs="仿宋"/>
          <w:sz w:val="28"/>
          <w:szCs w:val="28"/>
        </w:rPr>
        <w:t>构建普职</w:t>
      </w:r>
      <w:r>
        <w:rPr>
          <w:rFonts w:ascii="仿宋" w:hAnsi="仿宋" w:eastAsia="仿宋" w:cs="仿宋"/>
          <w:sz w:val="28"/>
          <w:szCs w:val="28"/>
        </w:rPr>
        <w:t>实践教育联盟，</w:t>
      </w:r>
      <w:r>
        <w:rPr>
          <w:rFonts w:hint="eastAsia" w:ascii="仿宋" w:hAnsi="仿宋" w:eastAsia="仿宋" w:cs="仿宋"/>
          <w:sz w:val="28"/>
          <w:szCs w:val="28"/>
        </w:rPr>
        <w:t>助推中小学校开展劳动和职业启蒙教育。</w:t>
      </w:r>
    </w:p>
    <w:p>
      <w:pPr>
        <w:widowControl w:val="0"/>
        <w:spacing w:after="60" w:line="360" w:lineRule="auto"/>
        <w:ind w:firstLine="564"/>
        <w:rPr>
          <w:rFonts w:ascii="仿宋" w:hAnsi="仿宋" w:eastAsia="仿宋" w:cs="仿宋"/>
          <w:sz w:val="28"/>
          <w:szCs w:val="28"/>
        </w:rPr>
      </w:pPr>
      <w:r>
        <w:rPr>
          <w:rFonts w:hint="eastAsia" w:ascii="仿宋" w:hAnsi="仿宋" w:eastAsia="仿宋" w:cs="仿宋"/>
          <w:b/>
          <w:bCs/>
          <w:sz w:val="28"/>
          <w:szCs w:val="28"/>
        </w:rPr>
        <w:t>——进一步完善终身</w:t>
      </w:r>
      <w:r>
        <w:rPr>
          <w:rFonts w:hint="eastAsia" w:ascii="仿宋" w:hAnsi="仿宋" w:eastAsia="仿宋" w:cs="仿宋"/>
          <w:b/>
          <w:sz w:val="28"/>
          <w:szCs w:val="28"/>
        </w:rPr>
        <w:t>教育体系。</w:t>
      </w:r>
      <w:r>
        <w:rPr>
          <w:rFonts w:hint="eastAsia" w:ascii="仿宋" w:hAnsi="仿宋" w:eastAsia="仿宋" w:cs="仿宋"/>
          <w:sz w:val="28"/>
          <w:szCs w:val="28"/>
        </w:rPr>
        <w:t>推进鹿城区社区教育指导中心、街镇社区学校、社区分校等社区终身教育服务体系建设。优化老年大学分校、老年学习苑等老年教育机构布局，健全城乡一体、社区联纵的师资体系。完善劳动力培训体系，积极推进社区教育与高校、职业技能培训机构合作，建设特色鲜明、灵活开放、满足市民多样化需求的终身学习社区教育服务系统。推进终身教育品牌化建设，全面提升“浙江省示范学习型城市”经验。</w:t>
      </w:r>
      <w:bookmarkStart w:id="28" w:name="_Hlk59989810"/>
      <w:r>
        <w:rPr>
          <w:rFonts w:hint="eastAsia" w:ascii="仿宋" w:hAnsi="仿宋" w:eastAsia="仿宋" w:cs="仿宋"/>
          <w:sz w:val="28"/>
          <w:szCs w:val="28"/>
        </w:rPr>
        <w:t>到2025年，建成终身教育体验基地、社区教育品牌项目各10个，市现代化社区学校（分校）创建率达到80%，提高经常性参加教育活动的老年人口比例，提高新增劳动力平均受教育年限。</w:t>
      </w:r>
      <w:bookmarkEnd w:id="28"/>
    </w:p>
    <w:p>
      <w:pPr>
        <w:widowControl w:val="0"/>
        <w:spacing w:after="60" w:line="360" w:lineRule="auto"/>
        <w:ind w:firstLine="564"/>
        <w:rPr>
          <w:rFonts w:ascii="仿宋" w:hAnsi="仿宋" w:eastAsia="仿宋" w:cs="仿宋"/>
          <w:sz w:val="28"/>
          <w:szCs w:val="28"/>
        </w:rPr>
      </w:pPr>
      <w:r>
        <w:rPr>
          <w:rFonts w:hint="eastAsia" w:ascii="仿宋" w:hAnsi="仿宋" w:eastAsia="仿宋" w:cs="仿宋"/>
          <w:b/>
          <w:bCs/>
          <w:sz w:val="28"/>
          <w:szCs w:val="28"/>
        </w:rPr>
        <w:t>——推进终身教育智能化。</w:t>
      </w:r>
      <w:r>
        <w:rPr>
          <w:rFonts w:hint="eastAsia" w:ascii="仿宋" w:hAnsi="仿宋" w:eastAsia="仿宋" w:cs="仿宋"/>
          <w:sz w:val="28"/>
          <w:szCs w:val="28"/>
        </w:rPr>
        <w:t>建设数字化学习生态系统，完善全民终身学习公共服务平台。建立市民终身教育学分银行，制定普通学历教育、技能证书、技术发明等学习经历及其成果的学分转换办法。推进非学历教育学习成果、职业技能等级学分转换互认，实现各类教育之间的衔接和沟通，拓宽终身学习通道。建立线上课程资源库，扩大社区教育资源供给，提升社区教育机构综合服务能力。</w:t>
      </w:r>
    </w:p>
    <w:p>
      <w:pPr>
        <w:widowControl w:val="0"/>
        <w:spacing w:after="60" w:line="360" w:lineRule="auto"/>
        <w:ind w:firstLine="564"/>
        <w:rPr>
          <w:rFonts w:ascii="仿宋" w:hAnsi="仿宋" w:eastAsia="仿宋" w:cs="仿宋"/>
          <w:sz w:val="28"/>
          <w:szCs w:val="28"/>
        </w:rPr>
      </w:pPr>
      <w:r>
        <w:rPr>
          <w:rFonts w:hint="eastAsia" w:ascii="仿宋" w:hAnsi="仿宋" w:eastAsia="仿宋" w:cs="仿宋"/>
          <w:b/>
          <w:bCs/>
          <w:sz w:val="28"/>
          <w:szCs w:val="28"/>
        </w:rPr>
        <w:t>——打造未来社区教育场景。</w:t>
      </w:r>
      <w:r>
        <w:rPr>
          <w:rFonts w:hint="eastAsia" w:ascii="仿宋" w:hAnsi="仿宋" w:eastAsia="仿宋" w:cs="仿宋"/>
          <w:sz w:val="28"/>
          <w:szCs w:val="28"/>
        </w:rPr>
        <w:t>以未来社区教育场景建设为目标，健全政府主导、部门协同、多方参与的学习型社区建设，形成人人皆学、处处可学、时时能学的社区教育服务。精准服务老年教育、青少年校外教育和社区骨干培训，筹划引进国内知名教育服务机构，打造特色课程，推动社区教育提质增效。积极搭建鹿城区教育服务公众平台，开展“全民微课”运动。积极创建社区阅览室、读书亭等，丰富社区学习场景。探索未来社区教育相关制度建设，将终身教育工作纳入政府目标考核，进一步完善社区教育评估机制。</w:t>
      </w:r>
    </w:p>
    <w:p>
      <w:pPr>
        <w:widowControl w:val="0"/>
        <w:spacing w:after="60" w:line="360" w:lineRule="auto"/>
        <w:ind w:firstLine="420"/>
        <w:rPr>
          <w:rFonts w:ascii="仿宋" w:hAnsi="仿宋" w:eastAsia="仿宋" w:cs="仿宋"/>
          <w:sz w:val="28"/>
          <w:szCs w:val="28"/>
        </w:rPr>
      </w:pPr>
      <w:r>
        <w:rPr>
          <w:rFonts w:hint="eastAsia" w:ascii="仿宋" w:hAnsi="仿宋" w:eastAsia="仿宋" w:cs="仿宋"/>
          <w:b/>
          <w:bCs/>
          <w:sz w:val="28"/>
          <w:szCs w:val="28"/>
        </w:rPr>
        <w:t>——构建家庭、学校、社区三位一体协同育人机制。</w:t>
      </w:r>
      <w:r>
        <w:rPr>
          <w:rFonts w:hint="eastAsia" w:ascii="仿宋" w:hAnsi="仿宋" w:eastAsia="仿宋" w:cs="仿宋"/>
          <w:sz w:val="28"/>
          <w:szCs w:val="28"/>
        </w:rPr>
        <w:t>依托“全国家庭教育工作示范区”，培育系列示范性成果，引导区域性家庭教育创新，</w:t>
      </w:r>
      <w:r>
        <w:rPr>
          <w:rFonts w:ascii="仿宋" w:hAnsi="仿宋" w:eastAsia="仿宋" w:cs="仿宋"/>
          <w:bCs/>
          <w:sz w:val="28"/>
          <w:szCs w:val="28"/>
        </w:rPr>
        <w:t>推进全</w:t>
      </w:r>
      <w:r>
        <w:rPr>
          <w:rFonts w:hint="eastAsia" w:ascii="仿宋" w:hAnsi="仿宋" w:eastAsia="仿宋" w:cs="仿宋"/>
          <w:bCs/>
          <w:sz w:val="28"/>
          <w:szCs w:val="28"/>
        </w:rPr>
        <w:t>区</w:t>
      </w:r>
      <w:r>
        <w:rPr>
          <w:rFonts w:ascii="仿宋" w:hAnsi="仿宋" w:eastAsia="仿宋" w:cs="仿宋"/>
          <w:bCs/>
          <w:sz w:val="28"/>
          <w:szCs w:val="28"/>
        </w:rPr>
        <w:t>中小学家庭教育规范化、专业化和科学化</w:t>
      </w:r>
      <w:r>
        <w:rPr>
          <w:rFonts w:hint="eastAsia" w:ascii="仿宋" w:hAnsi="仿宋" w:eastAsia="仿宋" w:cs="仿宋"/>
          <w:sz w:val="28"/>
          <w:szCs w:val="28"/>
        </w:rPr>
        <w:t>。建立教育、妇联、工会及各街道等相关部门联合参与的家庭教育保障机制和“家长终身学习”推进机制，系统设计家长教育课程，推行市民“家长终身学习”模块课程合格证书制度，加强家长教育，推动家风建设。</w:t>
      </w:r>
    </w:p>
    <w:p>
      <w:pPr>
        <w:pStyle w:val="5"/>
        <w:widowControl w:val="0"/>
        <w:spacing w:before="120" w:after="60" w:line="360" w:lineRule="auto"/>
        <w:ind w:firstLine="562" w:firstLineChars="200"/>
        <w:rPr>
          <w:rFonts w:ascii="仿宋" w:hAnsi="仿宋" w:eastAsia="仿宋" w:cs="仿宋"/>
          <w:sz w:val="28"/>
          <w:szCs w:val="21"/>
        </w:rPr>
      </w:pPr>
      <w:bookmarkStart w:id="29" w:name="_Toc22441"/>
      <w:bookmarkStart w:id="30" w:name="_Toc8591"/>
      <w:r>
        <w:rPr>
          <w:rFonts w:hint="eastAsia" w:ascii="仿宋" w:hAnsi="仿宋" w:eastAsia="仿宋" w:cs="仿宋"/>
          <w:sz w:val="28"/>
          <w:szCs w:val="21"/>
        </w:rPr>
        <w:t>（五）特殊教育融合全纳</w:t>
      </w:r>
      <w:bookmarkEnd w:id="29"/>
      <w:r>
        <w:rPr>
          <w:rFonts w:hint="eastAsia" w:ascii="仿宋" w:hAnsi="仿宋" w:eastAsia="仿宋" w:cs="仿宋"/>
          <w:sz w:val="28"/>
          <w:szCs w:val="21"/>
        </w:rPr>
        <w:t>发展</w:t>
      </w:r>
      <w:bookmarkEnd w:id="30"/>
    </w:p>
    <w:p>
      <w:pPr>
        <w:widowControl w:val="0"/>
        <w:spacing w:after="60" w:line="360" w:lineRule="auto"/>
        <w:ind w:firstLine="564"/>
        <w:rPr>
          <w:rFonts w:ascii="仿宋" w:hAnsi="仿宋" w:eastAsia="仿宋" w:cs="仿宋"/>
          <w:sz w:val="28"/>
          <w:szCs w:val="28"/>
        </w:rPr>
      </w:pPr>
      <w:r>
        <w:rPr>
          <w:rFonts w:hint="eastAsia" w:ascii="仿宋" w:hAnsi="仿宋" w:eastAsia="仿宋" w:cs="仿宋"/>
          <w:b/>
          <w:bCs/>
          <w:sz w:val="28"/>
          <w:szCs w:val="28"/>
        </w:rPr>
        <w:t>——推进特殊教育融合发展。</w:t>
      </w:r>
      <w:r>
        <w:rPr>
          <w:rFonts w:hint="eastAsia" w:ascii="仿宋" w:hAnsi="仿宋" w:eastAsia="仿宋" w:cs="仿宋"/>
          <w:sz w:val="28"/>
          <w:szCs w:val="28"/>
        </w:rPr>
        <w:t>全面构建布局合理、延伸全纳、学段衔接、普特融通、康教融合、医教结合的特殊教育体系。保障持证残疾幼儿学前教育入园率不低于 95%； 持证残疾儿童少年九年义务教育入学率接近100%；持证残疾少年高中段入学率争取不低于90%，其中视障、听障少年高中段入学率争取不低于95%，智障少年职业高中入学率争取不低于85%。</w:t>
      </w:r>
    </w:p>
    <w:p>
      <w:pPr>
        <w:widowControl w:val="0"/>
        <w:spacing w:after="60" w:line="360" w:lineRule="auto"/>
        <w:ind w:firstLine="564"/>
        <w:rPr>
          <w:rFonts w:ascii="仿宋" w:hAnsi="仿宋" w:eastAsia="仿宋" w:cs="仿宋"/>
          <w:sz w:val="28"/>
          <w:szCs w:val="28"/>
        </w:rPr>
      </w:pPr>
      <w:r>
        <w:rPr>
          <w:rFonts w:hint="eastAsia" w:ascii="仿宋" w:hAnsi="仿宋" w:eastAsia="仿宋" w:cs="仿宋"/>
          <w:b/>
          <w:bCs/>
          <w:sz w:val="28"/>
          <w:szCs w:val="28"/>
        </w:rPr>
        <w:t>——强化特殊教育教学质量。</w:t>
      </w:r>
      <w:r>
        <w:rPr>
          <w:rFonts w:hint="eastAsia" w:ascii="仿宋" w:hAnsi="仿宋" w:eastAsia="仿宋" w:cs="仿宋"/>
          <w:sz w:val="28"/>
          <w:szCs w:val="28"/>
        </w:rPr>
        <w:t>完善资源教师培养体系，建设资源教室，覆盖全区50%以上学校，创建温州市示范性资源教室7个。建立随班就读筛查安置体系，基本构建“筛查—评估—建档—转介—安置—综合干预”的运行机制，加强残疾人教育专家委员会建设，形成残疾人教育专家委员会具有鹿城特色的运行机制，不断提升残疾学生就读质量。提升鹿城区特殊教育指导中心，争取解决专业师资配备和资源中心建设；建立健全随班就读学校评价机制和资源教师培养和考核体系；送教上门工作创成全市先进。拓展中等职业学校专业的适切性，积极开展残疾人职业教育，为残疾学生就业和继续深造创造发展空间，促进残疾儿童少年更好融入美好社会生活。</w:t>
      </w:r>
      <w:bookmarkEnd w:id="15"/>
      <w:bookmarkEnd w:id="16"/>
    </w:p>
    <w:p>
      <w:pPr>
        <w:pStyle w:val="2"/>
        <w:rPr>
          <w:del w:id="6" w:author="文心雕龙" w:date="2021-09-03T15:47:00Z"/>
        </w:rPr>
      </w:pPr>
    </w:p>
    <w:p>
      <w:pPr>
        <w:pStyle w:val="4"/>
        <w:widowControl w:val="0"/>
        <w:spacing w:before="240" w:after="60" w:line="360" w:lineRule="auto"/>
        <w:ind w:firstLine="723" w:firstLineChars="200"/>
        <w:jc w:val="both"/>
        <w:rPr>
          <w:rFonts w:ascii="仿宋" w:hAnsi="仿宋" w:eastAsia="仿宋" w:cs="仿宋"/>
          <w:sz w:val="36"/>
          <w:szCs w:val="20"/>
        </w:rPr>
        <w:pPrChange w:id="7" w:author="文心雕龙" w:date="2021-09-03T15:47:00Z">
          <w:pPr>
            <w:pStyle w:val="4"/>
            <w:widowControl w:val="0"/>
            <w:spacing w:before="240" w:after="60" w:line="360" w:lineRule="auto"/>
            <w:jc w:val="both"/>
          </w:pPr>
        </w:pPrChange>
      </w:pPr>
      <w:bookmarkStart w:id="31" w:name="_Toc10785"/>
      <w:bookmarkStart w:id="32" w:name="_Toc30096"/>
      <w:bookmarkStart w:id="33" w:name="_Toc57407132"/>
      <w:bookmarkStart w:id="34" w:name="_Toc23262"/>
      <w:r>
        <w:rPr>
          <w:rFonts w:hint="eastAsia" w:ascii="仿宋" w:hAnsi="仿宋" w:eastAsia="仿宋" w:cs="仿宋"/>
          <w:sz w:val="36"/>
          <w:szCs w:val="20"/>
        </w:rPr>
        <w:t>四、发展举措</w:t>
      </w:r>
      <w:bookmarkEnd w:id="31"/>
      <w:bookmarkEnd w:id="32"/>
      <w:bookmarkEnd w:id="33"/>
      <w:bookmarkEnd w:id="34"/>
    </w:p>
    <w:p>
      <w:pPr>
        <w:pStyle w:val="5"/>
        <w:widowControl w:val="0"/>
        <w:spacing w:before="120" w:after="60" w:line="360" w:lineRule="auto"/>
        <w:ind w:firstLine="562" w:firstLineChars="200"/>
        <w:rPr>
          <w:rFonts w:ascii="仿宋" w:hAnsi="仿宋" w:eastAsia="仿宋" w:cs="仿宋"/>
          <w:sz w:val="28"/>
          <w:szCs w:val="21"/>
        </w:rPr>
      </w:pPr>
      <w:bookmarkStart w:id="35" w:name="_Toc13060"/>
      <w:bookmarkStart w:id="36" w:name="_Toc57407133"/>
      <w:bookmarkStart w:id="37" w:name="_Toc17481"/>
      <w:bookmarkStart w:id="38" w:name="_Toc7224"/>
      <w:r>
        <w:rPr>
          <w:rFonts w:hint="eastAsia" w:ascii="仿宋" w:hAnsi="仿宋" w:eastAsia="仿宋" w:cs="仿宋"/>
          <w:sz w:val="28"/>
          <w:szCs w:val="21"/>
        </w:rPr>
        <w:t>（一）五育并举，构筑全面育人新高地</w:t>
      </w:r>
      <w:bookmarkEnd w:id="35"/>
      <w:bookmarkEnd w:id="36"/>
      <w:bookmarkEnd w:id="37"/>
      <w:bookmarkEnd w:id="38"/>
    </w:p>
    <w:p>
      <w:pPr>
        <w:widowControl w:val="0"/>
        <w:spacing w:after="60" w:line="360" w:lineRule="auto"/>
        <w:ind w:firstLine="560" w:firstLineChars="200"/>
        <w:jc w:val="both"/>
        <w:rPr>
          <w:rFonts w:ascii="仿宋" w:hAnsi="仿宋" w:eastAsia="仿宋" w:cs="仿宋"/>
          <w:sz w:val="24"/>
          <w:szCs w:val="24"/>
          <w:shd w:val="clear" w:color="auto" w:fill="FFFFFF"/>
        </w:rPr>
      </w:pPr>
      <w:r>
        <w:rPr>
          <w:rFonts w:hint="eastAsia" w:ascii="仿宋" w:hAnsi="仿宋" w:eastAsia="仿宋" w:cs="仿宋"/>
          <w:sz w:val="28"/>
          <w:szCs w:val="28"/>
          <w:shd w:val="clear" w:color="auto" w:fill="FFFFFF"/>
        </w:rPr>
        <w:t>紧紧围绕中小学生发展的“理想信念、道德品质、人文底蕴、健康生活、艺术审美、实践创新”六大核心素养，遵循各阶段教育规律和学生成长成才规律,培养德智体美劳全面发展的社会主义建设者和接班人。把鹿城打造成为全市“五育并举”的示范性新高地，彰显省内教育现代化的“重要窗口”</w:t>
      </w:r>
    </w:p>
    <w:p>
      <w:pPr>
        <w:widowControl w:val="0"/>
        <w:spacing w:after="60" w:line="360" w:lineRule="auto"/>
        <w:ind w:firstLine="562" w:firstLineChars="200"/>
        <w:jc w:val="both"/>
        <w:rPr>
          <w:rFonts w:ascii="仿宋" w:hAnsi="仿宋" w:eastAsia="仿宋" w:cs="仿宋"/>
          <w:sz w:val="28"/>
          <w:szCs w:val="28"/>
          <w:shd w:val="clear" w:color="auto" w:fill="FFFFFF"/>
        </w:rPr>
      </w:pPr>
      <w:r>
        <w:rPr>
          <w:rFonts w:hint="eastAsia" w:ascii="仿宋" w:hAnsi="仿宋" w:eastAsia="仿宋" w:cs="仿宋"/>
          <w:b/>
          <w:bCs/>
          <w:sz w:val="28"/>
          <w:szCs w:val="28"/>
          <w:shd w:val="clear" w:color="auto" w:fill="FFFFFF"/>
        </w:rPr>
        <w:t>——全面落实立德树人。</w:t>
      </w:r>
      <w:r>
        <w:rPr>
          <w:rFonts w:hint="eastAsia" w:ascii="仿宋" w:hAnsi="仿宋" w:eastAsia="仿宋" w:cs="仿宋"/>
          <w:sz w:val="28"/>
          <w:szCs w:val="28"/>
          <w:shd w:val="clear" w:color="auto" w:fill="FFFFFF"/>
        </w:rPr>
        <w:t>将社会主义核心价值观教育融入育人全过程，理顺各学段育人目标，构建各学段有机衔接、分层递进、协调联动的德育课程体系。</w:t>
      </w:r>
      <w:r>
        <w:rPr>
          <w:rFonts w:hint="eastAsia" w:ascii="仿宋" w:hAnsi="仿宋" w:eastAsia="仿宋" w:cs="仿宋"/>
          <w:bCs/>
          <w:sz w:val="28"/>
          <w:szCs w:val="28"/>
        </w:rPr>
        <w:t>大力开展鹿城区中小学“7+X”德育项目建设，努力打造成全省德育标杆。</w:t>
      </w:r>
      <w:r>
        <w:rPr>
          <w:rFonts w:hint="eastAsia" w:ascii="仿宋" w:hAnsi="仿宋" w:eastAsia="仿宋" w:cs="仿宋"/>
          <w:sz w:val="28"/>
          <w:szCs w:val="28"/>
          <w:shd w:val="clear" w:color="auto" w:fill="FFFFFF"/>
        </w:rPr>
        <w:t>树立“思政小课堂,社会大课堂”的“大思政”观。突出课堂主渠道作用，系统推进“课程思政”，统筹发挥各学科育人优势，充分挖掘学科特色育人元素，确保德育元素植入到中小学全部课程。改革育人目标和评价体系的一体化设计，进一步凸显以价值观为核心的德育目标设计、实施与评价。以社会主义核心价值观教育为主线，实施“价值观引领未来”工程，突出“四史”、中华优秀传统文化、浙江精神、瓯越文化和新时代温州人精神传承，开发校外优质资源，创新德育教育模式，打造“有风景的思政课”。到2025年，培育区域品牌性价值观教育基地学校</w:t>
      </w:r>
      <w:r>
        <w:rPr>
          <w:rFonts w:ascii="仿宋" w:hAnsi="仿宋" w:eastAsia="仿宋" w:cs="仿宋"/>
          <w:sz w:val="28"/>
          <w:szCs w:val="28"/>
          <w:shd w:val="clear" w:color="auto" w:fill="FFFFFF"/>
        </w:rPr>
        <w:t>15</w:t>
      </w:r>
      <w:r>
        <w:rPr>
          <w:rFonts w:hint="eastAsia" w:ascii="仿宋" w:hAnsi="仿宋" w:eastAsia="仿宋" w:cs="仿宋"/>
          <w:sz w:val="28"/>
          <w:szCs w:val="28"/>
          <w:shd w:val="clear" w:color="auto" w:fill="FFFFFF"/>
        </w:rPr>
        <w:t>所，推出价值观教育典型创新案例</w:t>
      </w:r>
      <w:r>
        <w:rPr>
          <w:rFonts w:ascii="仿宋" w:hAnsi="仿宋" w:eastAsia="仿宋" w:cs="仿宋"/>
          <w:sz w:val="28"/>
          <w:szCs w:val="28"/>
          <w:shd w:val="clear" w:color="auto" w:fill="FFFFFF"/>
        </w:rPr>
        <w:t>5</w:t>
      </w:r>
      <w:r>
        <w:rPr>
          <w:rFonts w:hint="eastAsia" w:ascii="仿宋" w:hAnsi="仿宋" w:eastAsia="仿宋" w:cs="仿宋"/>
          <w:sz w:val="28"/>
          <w:szCs w:val="28"/>
          <w:shd w:val="clear" w:color="auto" w:fill="FFFFFF"/>
        </w:rPr>
        <w:t>0 项，形成全省有影响力的区域思政育人成果。</w:t>
      </w:r>
    </w:p>
    <w:p>
      <w:pPr>
        <w:widowControl w:val="0"/>
        <w:spacing w:after="60" w:line="360" w:lineRule="auto"/>
        <w:ind w:firstLine="562" w:firstLineChars="200"/>
        <w:jc w:val="both"/>
        <w:rPr>
          <w:rFonts w:ascii="仿宋" w:hAnsi="仿宋" w:eastAsia="仿宋" w:cs="仿宋"/>
          <w:sz w:val="28"/>
          <w:szCs w:val="28"/>
          <w:shd w:val="clear" w:color="auto" w:fill="FFFFFF"/>
        </w:rPr>
      </w:pPr>
      <w:r>
        <w:rPr>
          <w:rFonts w:hint="eastAsia" w:ascii="仿宋" w:hAnsi="仿宋" w:eastAsia="仿宋" w:cs="仿宋"/>
          <w:b/>
          <w:bCs/>
          <w:sz w:val="28"/>
          <w:szCs w:val="28"/>
          <w:shd w:val="clear" w:color="auto" w:fill="FFFFFF"/>
        </w:rPr>
        <w:t>——突出加强劳动教育。</w:t>
      </w:r>
      <w:r>
        <w:rPr>
          <w:rFonts w:hint="eastAsia" w:ascii="仿宋" w:hAnsi="仿宋" w:eastAsia="仿宋" w:cs="仿宋"/>
          <w:sz w:val="28"/>
          <w:szCs w:val="28"/>
          <w:shd w:val="clear" w:color="auto" w:fill="FFFFFF"/>
        </w:rPr>
        <w:t>深入贯彻落实《中共中央国务院关于全面加强新时代大中小学劳动教育的意见》等文件精神，健全分层分类的劳动教育体系，着眼劳动意识启蒙，习惯养成、技能培养、品质锤炼、职业精神塑造各学段劳动教育重点，开发分层递进的劳动教育必修课程，建成“瓯越特色”劳动和研学实践课程体系。将马克思主义劳动观融入中小学各学科教育教学中，开展劳动教育过程监测与</w:t>
      </w:r>
      <w:bookmarkStart w:id="73" w:name="_GoBack"/>
      <w:r>
        <w:rPr>
          <w:rFonts w:hint="eastAsia" w:ascii="仿宋" w:hAnsi="仿宋" w:eastAsia="仿宋" w:cs="仿宋"/>
          <w:sz w:val="28"/>
          <w:szCs w:val="28"/>
          <w:shd w:val="clear" w:color="auto" w:fill="FFFFFF"/>
          <w:lang w:eastAsia="zh-CN"/>
        </w:rPr>
        <w:t>纪实</w:t>
      </w:r>
      <w:bookmarkEnd w:id="73"/>
      <w:r>
        <w:rPr>
          <w:rFonts w:hint="eastAsia" w:ascii="仿宋" w:hAnsi="仿宋" w:eastAsia="仿宋" w:cs="仿宋"/>
          <w:sz w:val="28"/>
          <w:szCs w:val="28"/>
          <w:shd w:val="clear" w:color="auto" w:fill="FFFFFF"/>
        </w:rPr>
        <w:t>评价。设立中小学劳动周，科学安排校内外有机结合的劳动实践课程。加强劳动教育校园文化建设，以节日活动、社团活动、“光盘”行动等，倡导热爱劳动、厉行节约的精神品质。依托区内中高职学校、企业工坊、户外素质拓展基地等筹建中小学劳动实践教育基地和劳动研学教育营地，全面满足全区中小学生校外劳动实践教育需求。五年内创建劳动教育示范学校8所，培育省市两级劳动实践教育基地15个、省级以上研学旅行精品线路1条、研学实践教育基地（营地）5个，建成精品实践教学课程15门。</w:t>
      </w:r>
    </w:p>
    <w:p>
      <w:pPr>
        <w:widowControl w:val="0"/>
        <w:spacing w:after="60" w:line="360" w:lineRule="auto"/>
        <w:ind w:firstLine="562" w:firstLineChars="200"/>
        <w:jc w:val="both"/>
        <w:rPr>
          <w:rFonts w:ascii="仿宋" w:hAnsi="仿宋" w:eastAsia="仿宋" w:cs="仿宋"/>
          <w:sz w:val="28"/>
          <w:szCs w:val="28"/>
          <w:shd w:val="clear" w:color="auto" w:fill="FFFFFF"/>
        </w:rPr>
      </w:pPr>
      <w:r>
        <w:rPr>
          <w:rFonts w:hint="eastAsia" w:ascii="仿宋" w:hAnsi="仿宋" w:eastAsia="仿宋" w:cs="仿宋"/>
          <w:b/>
          <w:bCs/>
          <w:sz w:val="28"/>
          <w:szCs w:val="28"/>
          <w:shd w:val="clear" w:color="auto" w:fill="FFFFFF"/>
        </w:rPr>
        <w:t>——注重体育与健康教育。</w:t>
      </w:r>
      <w:r>
        <w:rPr>
          <w:rFonts w:hint="eastAsia" w:ascii="仿宋" w:hAnsi="仿宋" w:eastAsia="仿宋" w:cs="仿宋"/>
          <w:sz w:val="28"/>
          <w:szCs w:val="28"/>
          <w:shd w:val="clear" w:color="auto" w:fill="FFFFFF"/>
        </w:rPr>
        <w:t>实施“学生健康促进工程”，建立区学生体质健康监测中心，定期开展学生体质监测，全面实施学生体质健康监测公告制度。严格落实“每天校园锻炼一小时”，持续增加孩子户外活动和锻炼时间，不断丰富体育活动形式和内容。深入推进体教结合，启动中小学体育课程改革试点，普及青少年校园足球工作、游泳、冰雪运动等教育。落实“明眸皓齿”工程，常态化开展中小学生的视力和口腔健康普查，在全市率先建立视觉和口腔健康电子档案，构建近视、患龋风险动态预警机制。重视中小学生卫生和营养健康，以主题沙龙、导师团宣讲、主题班会等形式普及宣传健康教育。切实关注中小学生心理健康，进一步减轻学生课业负担，健全心理健康普查和干预机制。</w:t>
      </w:r>
      <w:bookmarkStart w:id="39" w:name="_Hlk59989409"/>
      <w:r>
        <w:rPr>
          <w:rFonts w:hint="eastAsia" w:ascii="仿宋" w:hAnsi="仿宋" w:eastAsia="仿宋" w:cs="仿宋"/>
          <w:sz w:val="28"/>
          <w:szCs w:val="28"/>
          <w:shd w:val="clear" w:color="auto" w:fill="FFFFFF"/>
        </w:rPr>
        <w:t>到2025年，全区中小学生体质健康测试合格率不低于9</w:t>
      </w:r>
      <w:r>
        <w:rPr>
          <w:rFonts w:ascii="仿宋" w:hAnsi="仿宋" w:eastAsia="仿宋" w:cs="仿宋"/>
          <w:sz w:val="28"/>
          <w:szCs w:val="28"/>
          <w:shd w:val="clear" w:color="auto" w:fill="FFFFFF"/>
        </w:rPr>
        <w:t>8</w:t>
      </w:r>
      <w:r>
        <w:rPr>
          <w:rFonts w:hint="eastAsia" w:ascii="仿宋" w:hAnsi="仿宋" w:eastAsia="仿宋" w:cs="仿宋"/>
          <w:sz w:val="28"/>
          <w:szCs w:val="28"/>
          <w:shd w:val="clear" w:color="auto" w:fill="FFFFFF"/>
        </w:rPr>
        <w:t>%、近视率不高于50%、</w:t>
      </w:r>
      <w:r>
        <w:rPr>
          <w:rFonts w:hint="eastAsia" w:ascii="仿宋" w:hAnsi="仿宋" w:eastAsia="仿宋" w:cs="仿宋"/>
          <w:bCs/>
          <w:sz w:val="28"/>
          <w:szCs w:val="28"/>
        </w:rPr>
        <w:t>患龋率逐年下降</w:t>
      </w:r>
      <w:r>
        <w:rPr>
          <w:rFonts w:hint="eastAsia" w:ascii="仿宋" w:hAnsi="仿宋" w:eastAsia="仿宋" w:cs="仿宋"/>
          <w:sz w:val="28"/>
          <w:szCs w:val="28"/>
          <w:shd w:val="clear" w:color="auto" w:fill="FFFFFF"/>
        </w:rPr>
        <w:t>；打造心理健康基地联盟校和营养健康基地联盟校各30所，培育心理健康和营养健康典型案例各30个。</w:t>
      </w:r>
    </w:p>
    <w:bookmarkEnd w:id="39"/>
    <w:p>
      <w:pPr>
        <w:widowControl w:val="0"/>
        <w:spacing w:after="60" w:line="360" w:lineRule="auto"/>
        <w:ind w:firstLine="562" w:firstLineChars="200"/>
        <w:jc w:val="both"/>
        <w:rPr>
          <w:rFonts w:ascii="仿宋" w:hAnsi="仿宋" w:eastAsia="仿宋" w:cs="仿宋"/>
          <w:sz w:val="28"/>
          <w:szCs w:val="28"/>
        </w:rPr>
      </w:pPr>
      <w:r>
        <w:rPr>
          <w:rFonts w:hint="eastAsia" w:ascii="仿宋" w:hAnsi="仿宋" w:eastAsia="仿宋" w:cs="仿宋"/>
          <w:b/>
          <w:bCs/>
          <w:sz w:val="28"/>
          <w:szCs w:val="28"/>
          <w:shd w:val="clear" w:color="auto" w:fill="FFFFFF"/>
        </w:rPr>
        <w:t>——强化创新与审美教育。</w:t>
      </w:r>
      <w:r>
        <w:rPr>
          <w:rFonts w:hint="eastAsia" w:ascii="仿宋" w:hAnsi="仿宋" w:eastAsia="仿宋" w:cs="仿宋"/>
          <w:sz w:val="28"/>
          <w:szCs w:val="28"/>
          <w:shd w:val="clear" w:color="auto" w:fill="FFFFFF"/>
        </w:rPr>
        <w:t>构建课程、实践、文化三位一体创新教育体系，将学科教育有机融入</w:t>
      </w:r>
      <w:r>
        <w:rPr>
          <w:rFonts w:hint="eastAsia" w:ascii="仿宋" w:hAnsi="仿宋" w:eastAsia="仿宋" w:cs="仿宋"/>
          <w:sz w:val="28"/>
          <w:szCs w:val="28"/>
        </w:rPr>
        <w:t>数学、科学、地理、技术等学科教育教学中，系统开展青少年科普教育实践活动，营造校园科技创新文化。实施“科技创新进校园”计划，定期引入本土科技企业、科研院所最新科技创新项目等挖掘创新教育元素，立足温州创新热土，弘扬温州人创新精神。加强学校艺术教育课程改革，创新学生艺术活动内容和形式，营造校园文化艺术环境，引导每位学生至少掌握一项艺术技能。实施“高雅艺术进校园”“瓯字非遗进班级”“审美教育进课堂”三大文教结合新项目，推进区域艺术教育特色发展。推进中小学课后服务扩面提质，开展丰富多彩的科普、文体、艺术、劳动、阅读等项目的兴趣小组活动及社团活动。加强与文联、书法家协会等各类文化艺术团体机构的合作，发挥文教结合的社会支撑作用，提升学校美育水平。到2025年，入选市级及以上美育示范校20所，打造美育特色典型案例30个。</w:t>
      </w:r>
    </w:p>
    <w:p>
      <w:pPr>
        <w:widowControl w:val="0"/>
        <w:spacing w:after="60" w:line="360" w:lineRule="auto"/>
        <w:ind w:firstLine="562" w:firstLineChars="200"/>
        <w:jc w:val="both"/>
        <w:rPr>
          <w:rFonts w:ascii="仿宋" w:hAnsi="仿宋" w:eastAsia="仿宋" w:cs="仿宋"/>
          <w:szCs w:val="21"/>
        </w:rPr>
      </w:pPr>
      <w:r>
        <w:rPr>
          <w:rFonts w:hint="eastAsia" w:ascii="仿宋" w:hAnsi="仿宋" w:eastAsia="仿宋" w:cs="仿宋"/>
          <w:b/>
          <w:bCs/>
          <w:sz w:val="28"/>
          <w:szCs w:val="28"/>
          <w:shd w:val="clear" w:color="auto" w:fill="FFFFFF"/>
        </w:rPr>
        <w:t>——深化教学教研改革。</w:t>
      </w:r>
      <w:r>
        <w:rPr>
          <w:rFonts w:hint="eastAsia" w:ascii="仿宋" w:hAnsi="仿宋" w:eastAsia="仿宋" w:cs="仿宋"/>
          <w:sz w:val="28"/>
          <w:szCs w:val="28"/>
          <w:shd w:val="clear" w:color="auto" w:fill="FFFFFF"/>
        </w:rPr>
        <w:t>落实《教育部关于加强和改进新时代基础教育教研工作的意见》等文件精神，深化教学教研改革，丰富学校课程体系，创新课堂教学模式。推进义务教育课程改革和课堂教学改革的区本化、校本化实施，积极探索长短课时制、分层课业制等教学模式改革。结合学区化、集团化改革项目，探索建立优秀校本课程的区域共享共建机制。完善区校、教研组三级教研工作体系，创新教研工作方式，加大优秀教研成果应用推广力度。加强作业设计研究，完善作业调控机制，创新作业形式，提升作业有效性，减轻学生课业负担。加强考试评价改革研究，提高考试命题质量，健全以素质教育、全面发展为导向的科学评价体系。到2025年，建成10所区域课改示范校、20个学科课改与教学示范基地，培育50个特色课改教改案例，形成具有全市影响力和示范辐射力的鹿城特色教改课改典型范式。</w:t>
      </w:r>
    </w:p>
    <w:p>
      <w:pPr>
        <w:pStyle w:val="5"/>
        <w:widowControl w:val="0"/>
        <w:spacing w:before="120" w:after="60" w:line="360" w:lineRule="auto"/>
        <w:ind w:firstLine="562" w:firstLineChars="200"/>
        <w:rPr>
          <w:rFonts w:ascii="仿宋" w:hAnsi="仿宋" w:eastAsia="仿宋" w:cs="仿宋"/>
          <w:sz w:val="28"/>
          <w:szCs w:val="21"/>
        </w:rPr>
      </w:pPr>
      <w:bookmarkStart w:id="40" w:name="_Toc57407134"/>
      <w:bookmarkStart w:id="41" w:name="_Toc6138"/>
      <w:bookmarkStart w:id="42" w:name="_Toc30037"/>
      <w:bookmarkStart w:id="43" w:name="_Toc27838"/>
      <w:r>
        <w:rPr>
          <w:rFonts w:hint="eastAsia" w:ascii="仿宋" w:hAnsi="仿宋" w:eastAsia="仿宋" w:cs="仿宋"/>
          <w:sz w:val="28"/>
          <w:szCs w:val="21"/>
        </w:rPr>
        <w:t>（二）引培优育，打造高水平师资队伍</w:t>
      </w:r>
      <w:bookmarkEnd w:id="40"/>
      <w:bookmarkEnd w:id="41"/>
      <w:bookmarkEnd w:id="42"/>
      <w:bookmarkEnd w:id="43"/>
    </w:p>
    <w:p>
      <w:pPr>
        <w:widowControl w:val="0"/>
        <w:spacing w:after="60" w:line="360" w:lineRule="auto"/>
        <w:ind w:firstLine="560" w:firstLineChars="200"/>
        <w:jc w:val="both"/>
        <w:rPr>
          <w:rFonts w:ascii="仿宋" w:hAnsi="仿宋" w:eastAsia="仿宋" w:cs="仿宋"/>
          <w:sz w:val="28"/>
          <w:szCs w:val="28"/>
          <w:shd w:val="clear" w:color="auto" w:fill="FFFFFF"/>
        </w:rPr>
      </w:pPr>
      <w:r>
        <w:rPr>
          <w:rFonts w:hint="eastAsia" w:ascii="仿宋" w:hAnsi="仿宋" w:eastAsia="仿宋" w:cs="仿宋"/>
          <w:sz w:val="28"/>
          <w:szCs w:val="28"/>
          <w:shd w:val="clear" w:color="auto" w:fill="FFFFFF"/>
        </w:rPr>
        <w:t>贯彻落实《关于全面深化新时代教师队伍建设改革的意见》，以“四有好老师”标准为指引，努力建设一支有理想信念、有道德情操、有扎实学识、有仁爱之心的高水平教师队伍。</w:t>
      </w:r>
    </w:p>
    <w:p>
      <w:pPr>
        <w:widowControl w:val="0"/>
        <w:spacing w:after="60" w:line="360" w:lineRule="auto"/>
        <w:ind w:firstLine="562" w:firstLineChars="200"/>
        <w:jc w:val="both"/>
        <w:rPr>
          <w:rFonts w:ascii="仿宋" w:hAnsi="仿宋" w:eastAsia="仿宋" w:cs="仿宋"/>
          <w:sz w:val="30"/>
          <w:szCs w:val="30"/>
        </w:rPr>
      </w:pPr>
      <w:r>
        <w:rPr>
          <w:rFonts w:hint="eastAsia" w:ascii="仿宋" w:hAnsi="仿宋" w:eastAsia="仿宋" w:cs="仿宋"/>
          <w:b/>
          <w:bCs/>
          <w:sz w:val="28"/>
          <w:szCs w:val="28"/>
          <w:shd w:val="clear" w:color="auto" w:fill="FFFFFF"/>
        </w:rPr>
        <w:t>——加强师德师风建设。</w:t>
      </w:r>
      <w:r>
        <w:rPr>
          <w:rFonts w:hint="eastAsia" w:ascii="仿宋" w:hAnsi="仿宋" w:eastAsia="仿宋" w:cs="仿宋"/>
          <w:sz w:val="28"/>
          <w:szCs w:val="28"/>
          <w:shd w:val="clear" w:color="auto" w:fill="FFFFFF"/>
        </w:rPr>
        <w:t>落实中小学师德师风建设长效机制，创新师德提升载体，将师德教育作为教师各类集中培训的必修内容，全方位引导广大教师将理想信念放在师德教育首位，带头践行社会主义核心价值观，以德立身、以德立学、以德施教。健全师德师风表彰奖励制度和教师违反师德行为的惩处机制，将师德健康情况应用于教师职业生命全周期，作为任何评优评先、职称评审活动的前提条件。加大选树宣传力度，营造全社会尊师重教的良好氛围，建设一批师德教育示范基地；严格查处师德失范行为，实行师德“一票否决制”。</w:t>
      </w:r>
    </w:p>
    <w:p>
      <w:pPr>
        <w:widowControl w:val="0"/>
        <w:spacing w:after="60" w:line="360" w:lineRule="auto"/>
        <w:ind w:firstLine="562" w:firstLineChars="200"/>
        <w:jc w:val="both"/>
        <w:rPr>
          <w:rFonts w:ascii="仿宋" w:hAnsi="仿宋" w:eastAsia="仿宋" w:cs="仿宋"/>
          <w:sz w:val="28"/>
          <w:szCs w:val="28"/>
          <w:shd w:val="clear" w:color="auto" w:fill="FFFFFF"/>
        </w:rPr>
      </w:pPr>
      <w:r>
        <w:rPr>
          <w:rFonts w:hint="eastAsia" w:ascii="仿宋" w:hAnsi="仿宋" w:eastAsia="仿宋" w:cs="仿宋"/>
          <w:b/>
          <w:bCs/>
          <w:sz w:val="28"/>
          <w:szCs w:val="28"/>
          <w:shd w:val="clear" w:color="auto" w:fill="FFFFFF"/>
        </w:rPr>
        <w:t>——加快优秀人才引进。</w:t>
      </w:r>
      <w:r>
        <w:rPr>
          <w:rFonts w:hint="eastAsia" w:ascii="仿宋" w:hAnsi="仿宋" w:eastAsia="仿宋" w:cs="仿宋"/>
          <w:sz w:val="28"/>
          <w:szCs w:val="28"/>
          <w:shd w:val="clear" w:color="auto" w:fill="FFFFFF"/>
        </w:rPr>
        <w:t>始终秉持“人才聚、教育兴”发展理念，继续深入实施《白鹿教育人才工程实施办法》，探索建立更为积极、开放、有效的高层次人才引进政策，加大对正高级教师、省“教坛新秀”、市名校（园）长、市名师、市名班主任、市教坛新秀以及具有硕士研究生及以上学历的教师等优秀人才的引进力度。每年发布教师紧缺岗位工作目录，与“双一流”师范大学签订定向就业合作协议，引进一批优秀本硕博毕业生，不断充实教师团队力量。落实引进优秀人才的工资福利、住房保障等方面支持政策。</w:t>
      </w:r>
    </w:p>
    <w:p>
      <w:pPr>
        <w:widowControl w:val="0"/>
        <w:spacing w:after="60" w:line="360" w:lineRule="auto"/>
        <w:ind w:firstLine="562" w:firstLineChars="200"/>
        <w:jc w:val="both"/>
        <w:rPr>
          <w:rFonts w:ascii="仿宋" w:hAnsi="仿宋" w:eastAsia="仿宋" w:cs="仿宋"/>
          <w:sz w:val="28"/>
          <w:szCs w:val="28"/>
          <w:shd w:val="clear" w:color="auto" w:fill="FFFFFF"/>
        </w:rPr>
      </w:pPr>
      <w:r>
        <w:rPr>
          <w:rFonts w:hint="eastAsia" w:ascii="仿宋" w:hAnsi="仿宋" w:eastAsia="仿宋" w:cs="仿宋"/>
          <w:b/>
          <w:bCs/>
          <w:sz w:val="28"/>
          <w:szCs w:val="28"/>
          <w:shd w:val="clear" w:color="auto" w:fill="FFFFFF"/>
        </w:rPr>
        <w:t>——加大师资培养力度。</w:t>
      </w:r>
      <w:r>
        <w:rPr>
          <w:rFonts w:hint="eastAsia" w:ascii="仿宋" w:hAnsi="仿宋" w:eastAsia="仿宋" w:cs="仿宋"/>
          <w:sz w:val="28"/>
          <w:szCs w:val="28"/>
          <w:shd w:val="clear" w:color="auto" w:fill="FFFFFF"/>
        </w:rPr>
        <w:t>逐年提高教师培训经费投入，完善教师培养培训机制、模式和课程，提升教师培训的针对性和实效性。定期组建鹿城区名师工程高端研究班、高级研修班和校（园）长高级研修班，构建线上培训与线下培训结合，集中培训与校本研修互补的培训模式。创新“未来教师”研训培养项目。加大教师发展学校培植力度，完善师培功能体系，形成师培示范效应。建立区本教师成长档案，将培训学分与教师管理相结合，塑造中小学教师全员培训新常态，持续跟踪服务教师职业成长。落实温州市瓯越教育人才“1331培养工程”，到2025年，新增省级以上高层次教育人才</w:t>
      </w:r>
      <w:r>
        <w:rPr>
          <w:rFonts w:ascii="仿宋" w:hAnsi="仿宋" w:eastAsia="仿宋" w:cs="仿宋"/>
          <w:sz w:val="28"/>
          <w:szCs w:val="28"/>
          <w:shd w:val="clear" w:color="auto" w:fill="FFFFFF"/>
        </w:rPr>
        <w:t>50</w:t>
      </w:r>
      <w:r>
        <w:rPr>
          <w:rFonts w:hint="eastAsia" w:ascii="仿宋" w:hAnsi="仿宋" w:eastAsia="仿宋" w:cs="仿宋"/>
          <w:sz w:val="28"/>
          <w:szCs w:val="28"/>
          <w:shd w:val="clear" w:color="auto" w:fill="FFFFFF"/>
        </w:rPr>
        <w:t>名，培养市名师名校长</w:t>
      </w:r>
      <w:r>
        <w:rPr>
          <w:rFonts w:ascii="仿宋" w:hAnsi="仿宋" w:eastAsia="仿宋" w:cs="仿宋"/>
          <w:sz w:val="28"/>
          <w:szCs w:val="28"/>
          <w:shd w:val="clear" w:color="auto" w:fill="FFFFFF"/>
        </w:rPr>
        <w:t>5</w:t>
      </w:r>
      <w:r>
        <w:rPr>
          <w:rFonts w:hint="eastAsia" w:ascii="仿宋" w:hAnsi="仿宋" w:eastAsia="仿宋" w:cs="仿宋"/>
          <w:sz w:val="28"/>
          <w:szCs w:val="28"/>
          <w:shd w:val="clear" w:color="auto" w:fill="FFFFFF"/>
        </w:rPr>
        <w:t>0名、市教坛新秀1</w:t>
      </w:r>
      <w:r>
        <w:rPr>
          <w:rFonts w:ascii="仿宋" w:hAnsi="仿宋" w:eastAsia="仿宋" w:cs="仿宋"/>
          <w:sz w:val="28"/>
          <w:szCs w:val="28"/>
          <w:shd w:val="clear" w:color="auto" w:fill="FFFFFF"/>
        </w:rPr>
        <w:t>5</w:t>
      </w:r>
      <w:r>
        <w:rPr>
          <w:rFonts w:hint="eastAsia" w:ascii="仿宋" w:hAnsi="仿宋" w:eastAsia="仿宋" w:cs="仿宋"/>
          <w:sz w:val="28"/>
          <w:szCs w:val="28"/>
          <w:shd w:val="clear" w:color="auto" w:fill="FFFFFF"/>
        </w:rPr>
        <w:t>0名，市新锐教师（学科骨干教师）600名。全区幼儿园、小学专任教师本科及以上学历比例分别达55%、95%以上，初中专任教师研究生学历比例达12%以上。</w:t>
      </w:r>
    </w:p>
    <w:p>
      <w:pPr>
        <w:pStyle w:val="2"/>
      </w:pPr>
    </w:p>
    <w:p>
      <w:pPr>
        <w:widowControl w:val="0"/>
        <w:spacing w:after="60" w:line="360" w:lineRule="auto"/>
        <w:ind w:firstLine="562" w:firstLineChars="200"/>
        <w:jc w:val="both"/>
        <w:rPr>
          <w:rFonts w:ascii="仿宋" w:hAnsi="仿宋" w:eastAsia="仿宋" w:cs="仿宋"/>
          <w:sz w:val="28"/>
          <w:szCs w:val="28"/>
          <w:shd w:val="clear" w:color="auto" w:fill="FFFFFF"/>
        </w:rPr>
      </w:pPr>
      <w:r>
        <w:rPr>
          <w:rFonts w:hint="eastAsia" w:ascii="仿宋" w:hAnsi="仿宋" w:eastAsia="仿宋" w:cs="仿宋"/>
          <w:b/>
          <w:bCs/>
          <w:sz w:val="28"/>
          <w:szCs w:val="28"/>
          <w:shd w:val="clear" w:color="auto" w:fill="FFFFFF"/>
        </w:rPr>
        <w:t>——加固人事制度保障。</w:t>
      </w:r>
      <w:r>
        <w:rPr>
          <w:rFonts w:hint="eastAsia" w:ascii="仿宋" w:hAnsi="仿宋" w:eastAsia="仿宋" w:cs="仿宋"/>
          <w:sz w:val="28"/>
          <w:szCs w:val="28"/>
          <w:shd w:val="clear" w:color="auto" w:fill="FFFFFF"/>
        </w:rPr>
        <w:t>健全由区教育局主管的事权、人权、财权相统一的教师管理体制，深化教师“区管校聘”管理体制改革。健全中小学教师工资长效联动机制，大力提高教师地位待遇，提升教师职业幸福感。</w:t>
      </w:r>
      <w:r>
        <w:rPr>
          <w:rFonts w:hint="eastAsia" w:ascii="仿宋" w:hAnsi="仿宋" w:eastAsia="仿宋" w:cs="仿宋"/>
          <w:sz w:val="28"/>
          <w:szCs w:val="28"/>
        </w:rPr>
        <w:t>合理制定幼儿教师编制计划，逐年提高公办幼儿园在编教师配备比例；打造教师成长共同体，着力提高幼儿教师专业发展水平。</w:t>
      </w:r>
      <w:r>
        <w:rPr>
          <w:rFonts w:hint="eastAsia" w:ascii="仿宋" w:hAnsi="仿宋" w:eastAsia="仿宋" w:cs="仿宋"/>
          <w:sz w:val="28"/>
          <w:szCs w:val="28"/>
          <w:shd w:val="clear" w:color="auto" w:fill="FFFFFF"/>
        </w:rPr>
        <w:t>实行教师职称评定与岗位聘用相结合的办法，全面推开中小学教师职务（职称）制度改革。深化绩效工资制度改革，建立重实绩、重贡献的绩效分配机制，向一线教师、骨干教师、班主任和工作业绩突出的教职工倾斜。健全教师流动机制，结合学区化、集团化办学、学校委托管理等项目，优化骨干教师区域内常态化流动方案，加强对流动效果的跟踪评估。完善和改革校长选拔、任用、培训、评价、晋升和流动制度，完善校长职级制的激励功能，搭建优秀校长成长平台，建设一支高水平、专业化的校长队伍。实施教师关爱工程，减轻教师各项非育人工作任务，提升教师职业幸福感。加强非编教辅后勤队伍建设，切实发挥其对教育教学一线的服务保障作用。</w:t>
      </w:r>
    </w:p>
    <w:p>
      <w:pPr>
        <w:pStyle w:val="5"/>
        <w:widowControl w:val="0"/>
        <w:spacing w:before="120" w:after="60" w:line="360" w:lineRule="auto"/>
        <w:ind w:firstLine="562" w:firstLineChars="200"/>
        <w:rPr>
          <w:rFonts w:ascii="仿宋" w:hAnsi="仿宋" w:eastAsia="仿宋" w:cs="仿宋"/>
          <w:sz w:val="28"/>
          <w:szCs w:val="21"/>
        </w:rPr>
      </w:pPr>
      <w:bookmarkStart w:id="44" w:name="_Toc15676"/>
      <w:bookmarkStart w:id="45" w:name="_Toc18132"/>
      <w:bookmarkStart w:id="46" w:name="_Toc26687"/>
      <w:bookmarkStart w:id="47" w:name="_Toc57407135"/>
      <w:r>
        <w:rPr>
          <w:rFonts w:hint="eastAsia" w:ascii="仿宋" w:hAnsi="仿宋" w:eastAsia="仿宋" w:cs="仿宋"/>
          <w:sz w:val="28"/>
          <w:szCs w:val="21"/>
        </w:rPr>
        <w:t>（三）智慧融合，构筑未来教育新格局</w:t>
      </w:r>
      <w:bookmarkEnd w:id="44"/>
      <w:bookmarkEnd w:id="45"/>
      <w:bookmarkEnd w:id="46"/>
      <w:bookmarkEnd w:id="47"/>
    </w:p>
    <w:p>
      <w:pPr>
        <w:widowControl w:val="0"/>
        <w:spacing w:after="60" w:line="360" w:lineRule="auto"/>
        <w:ind w:firstLine="560" w:firstLineChars="200"/>
        <w:jc w:val="both"/>
        <w:rPr>
          <w:rFonts w:ascii="仿宋" w:hAnsi="仿宋" w:eastAsia="仿宋" w:cs="仿宋"/>
          <w:sz w:val="28"/>
          <w:szCs w:val="28"/>
          <w:shd w:val="clear" w:color="auto" w:fill="FFFFFF"/>
        </w:rPr>
      </w:pPr>
      <w:r>
        <w:rPr>
          <w:rFonts w:hint="eastAsia" w:ascii="仿宋" w:hAnsi="仿宋" w:eastAsia="仿宋" w:cs="仿宋"/>
          <w:sz w:val="28"/>
          <w:szCs w:val="28"/>
          <w:shd w:val="clear" w:color="auto" w:fill="FFFFFF"/>
        </w:rPr>
        <w:t>以学生为中心，以课堂为关键，以数据为支撑，以智慧为导向，系统开展智慧教育顶层设计，统筹布局全区智慧教育发展规划，构建开放共享的智慧教育资源与服务体系，深化智慧课堂教学模式改革，擘画以智慧为主题的未来教育崭新蓝图。</w:t>
      </w:r>
    </w:p>
    <w:p>
      <w:pPr>
        <w:widowControl w:val="0"/>
        <w:spacing w:after="60" w:line="360" w:lineRule="auto"/>
        <w:ind w:firstLine="562" w:firstLineChars="200"/>
        <w:jc w:val="both"/>
        <w:rPr>
          <w:rFonts w:ascii="仿宋" w:hAnsi="仿宋" w:eastAsia="仿宋" w:cs="仿宋"/>
          <w:sz w:val="28"/>
          <w:szCs w:val="28"/>
          <w:shd w:val="clear" w:color="auto" w:fill="FFFFFF"/>
        </w:rPr>
      </w:pPr>
      <w:r>
        <w:rPr>
          <w:rFonts w:hint="eastAsia" w:ascii="仿宋" w:hAnsi="仿宋" w:eastAsia="仿宋" w:cs="仿宋"/>
          <w:b/>
          <w:bCs/>
          <w:sz w:val="28"/>
          <w:szCs w:val="28"/>
          <w:shd w:val="clear" w:color="auto" w:fill="FFFFFF"/>
        </w:rPr>
        <w:t>——智慧教育资源开发应用。</w:t>
      </w:r>
      <w:r>
        <w:rPr>
          <w:rFonts w:hint="eastAsia" w:ascii="仿宋" w:hAnsi="仿宋" w:eastAsia="仿宋" w:cs="仿宋"/>
          <w:sz w:val="28"/>
          <w:szCs w:val="28"/>
          <w:shd w:val="clear" w:color="auto" w:fill="FFFFFF"/>
        </w:rPr>
        <w:t>坚持“以用促建、集中管理、分布应用”的原则,统筹推进智慧教育教学资源建设。集中区内优质师资资源，建设一批同异步结合的线上名师课堂，在区内学校应用并向区外开放推广。构建教师协同备课平台、学生移动学习平台和在线答疑平台，持续推进精品在线课程和立体化教材开发应用，提升教师信息化教学能力、学生自主学习能力。引进名师大讲堂、爱学堂MOOC平台、瓯越特色课程平台等平台资源，不断丰富充实泛在学习资源，满足学生课内外多元化、多形式的学习需求。扩大面向社区教育、特殊教育的在线教学资源供给，为学习者提供课程个性化定制方案。健全教育教学资源共建共享机制，探索“政府引导、市场推动、学校参与”的资源协同建设应用新模式，实现全区优质教育教学资源的普惠共享。到2</w:t>
      </w:r>
      <w:r>
        <w:rPr>
          <w:rFonts w:ascii="仿宋" w:hAnsi="仿宋" w:eastAsia="仿宋" w:cs="仿宋"/>
          <w:sz w:val="28"/>
          <w:szCs w:val="28"/>
          <w:shd w:val="clear" w:color="auto" w:fill="FFFFFF"/>
        </w:rPr>
        <w:t>025</w:t>
      </w:r>
      <w:r>
        <w:rPr>
          <w:rFonts w:hint="eastAsia" w:ascii="仿宋" w:hAnsi="仿宋" w:eastAsia="仿宋" w:cs="仿宋"/>
          <w:sz w:val="28"/>
          <w:szCs w:val="28"/>
          <w:shd w:val="clear" w:color="auto" w:fill="FFFFFF"/>
        </w:rPr>
        <w:t>年，实现全区数字资源应用普及率100%，STEAM学习中心、未来教学网络空间覆盖面达100%。</w:t>
      </w:r>
    </w:p>
    <w:p>
      <w:pPr>
        <w:widowControl w:val="0"/>
        <w:spacing w:after="60" w:line="360" w:lineRule="auto"/>
        <w:ind w:firstLine="562" w:firstLineChars="200"/>
        <w:jc w:val="both"/>
        <w:rPr>
          <w:rFonts w:ascii="仿宋" w:hAnsi="仿宋" w:eastAsia="仿宋" w:cs="仿宋"/>
          <w:sz w:val="28"/>
          <w:szCs w:val="28"/>
          <w:shd w:val="clear" w:color="auto" w:fill="FFFFFF"/>
        </w:rPr>
      </w:pPr>
      <w:r>
        <w:rPr>
          <w:rFonts w:hint="eastAsia" w:ascii="仿宋" w:hAnsi="仿宋" w:eastAsia="仿宋" w:cs="仿宋"/>
          <w:b/>
          <w:bCs/>
          <w:sz w:val="28"/>
          <w:szCs w:val="28"/>
          <w:shd w:val="clear" w:color="auto" w:fill="FFFFFF"/>
        </w:rPr>
        <w:t>——智慧教育教学改革创新。</w:t>
      </w:r>
      <w:r>
        <w:rPr>
          <w:rFonts w:hint="eastAsia" w:ascii="仿宋" w:hAnsi="仿宋" w:eastAsia="仿宋" w:cs="仿宋"/>
          <w:sz w:val="28"/>
          <w:szCs w:val="28"/>
          <w:shd w:val="clear" w:color="auto" w:fill="FFFFFF"/>
        </w:rPr>
        <w:t>推进云计算、大数据、物联网、人工智能、区块链等新一代网络信息技术与教育教学的深层次融合，建设“智慧助教、智慧学伴”云平台，充分发挥学习者的主观能动性，积极推进未来教师角色从“教”向“导”转变，未来课堂知识传播从“传者本位”向“受者本位”转变，引领教与学的深刻变革。深入探索基于数字化平台和资源的翻转式、研讨式、案例式、探究式、任务驱动式等教学方法和手段改革；支持有条件的学校建设基于5G+VR/AR/MR架构的虚拟仿真教学系统和实验系统，推进情景式、沉浸式、解构式教学在科学、地理等学科，以及学前游戏化教学等领域的广泛应用；推进基于大数据的学情分析、课堂分析和诊断评价，提升教学评价的科学系、全面性和精准性。到2</w:t>
      </w:r>
      <w:r>
        <w:rPr>
          <w:rFonts w:ascii="仿宋" w:hAnsi="仿宋" w:eastAsia="仿宋" w:cs="仿宋"/>
          <w:sz w:val="28"/>
          <w:szCs w:val="28"/>
          <w:shd w:val="clear" w:color="auto" w:fill="FFFFFF"/>
        </w:rPr>
        <w:t>025</w:t>
      </w:r>
      <w:r>
        <w:rPr>
          <w:rFonts w:hint="eastAsia" w:ascii="仿宋" w:hAnsi="仿宋" w:eastAsia="仿宋" w:cs="仿宋"/>
          <w:sz w:val="28"/>
          <w:szCs w:val="28"/>
          <w:shd w:val="clear" w:color="auto" w:fill="FFFFFF"/>
        </w:rPr>
        <w:t>年，打造智慧教育典型课堂50个，培育信息化、智能化课堂革命典型案例5</w:t>
      </w:r>
      <w:r>
        <w:rPr>
          <w:rFonts w:ascii="仿宋" w:hAnsi="仿宋" w:eastAsia="仿宋" w:cs="仿宋"/>
          <w:sz w:val="28"/>
          <w:szCs w:val="28"/>
          <w:shd w:val="clear" w:color="auto" w:fill="FFFFFF"/>
        </w:rPr>
        <w:t>0</w:t>
      </w:r>
      <w:r>
        <w:rPr>
          <w:rFonts w:hint="eastAsia" w:ascii="仿宋" w:hAnsi="仿宋" w:eastAsia="仿宋" w:cs="仿宋"/>
          <w:sz w:val="28"/>
          <w:szCs w:val="28"/>
          <w:shd w:val="clear" w:color="auto" w:fill="FFFFFF"/>
        </w:rPr>
        <w:t>个。</w:t>
      </w:r>
    </w:p>
    <w:p>
      <w:pPr>
        <w:widowControl w:val="0"/>
        <w:spacing w:after="60" w:line="360" w:lineRule="auto"/>
        <w:ind w:firstLine="562" w:firstLineChars="200"/>
        <w:jc w:val="both"/>
        <w:rPr>
          <w:rFonts w:ascii="仿宋" w:hAnsi="仿宋" w:eastAsia="仿宋" w:cs="仿宋"/>
          <w:sz w:val="28"/>
          <w:szCs w:val="28"/>
          <w:shd w:val="clear" w:color="auto" w:fill="FFFFFF"/>
        </w:rPr>
      </w:pPr>
      <w:r>
        <w:rPr>
          <w:rFonts w:hint="eastAsia" w:ascii="仿宋" w:hAnsi="仿宋" w:eastAsia="仿宋" w:cs="仿宋"/>
          <w:b/>
          <w:bCs/>
          <w:sz w:val="28"/>
          <w:szCs w:val="28"/>
          <w:shd w:val="clear" w:color="auto" w:fill="FFFFFF"/>
        </w:rPr>
        <w:t>——智慧学习引领未来教育。</w:t>
      </w:r>
      <w:r>
        <w:rPr>
          <w:rFonts w:hint="eastAsia" w:ascii="仿宋" w:hAnsi="仿宋" w:eastAsia="仿宋" w:cs="仿宋"/>
          <w:sz w:val="28"/>
          <w:szCs w:val="28"/>
          <w:shd w:val="clear" w:color="auto" w:fill="FFFFFF"/>
        </w:rPr>
        <w:t>树立以学习者为中心理念，依托智慧学习平台与资源创设建构主义学习环境，深入探索混合式学习、移动学习、泛在学习、个性化学习等多种学习形式。以智慧学习为突破，推进面向未来教育的学习观念、学习模式、学习方法和学习形态变革，实现学习空间、学习时间、学习方式和学习评价的多元化和个性化。建立健全支持学习者线上学习过程服务、内容记录和成果认证机制,对接国家学分银行，完善学历和非学历教育、线上学习和线下学习的学分互认转换机制。建立学习者个人终身学习账户,有机衔接各个学段,形成贯穿一生的学习档案记录。构建网络化、智能化、全民化、个性化、终身化的学习服务体系,支撑“人人皆学、处处能学、时时可学</w:t>
      </w:r>
      <w:r>
        <w:rPr>
          <w:rFonts w:ascii="仿宋" w:hAnsi="仿宋" w:eastAsia="仿宋" w:cs="仿宋"/>
          <w:sz w:val="28"/>
          <w:szCs w:val="28"/>
          <w:shd w:val="clear" w:color="auto" w:fill="FFFFFF"/>
        </w:rPr>
        <w:t>”</w:t>
      </w:r>
      <w:r>
        <w:rPr>
          <w:rFonts w:hint="eastAsia" w:ascii="仿宋" w:hAnsi="仿宋" w:eastAsia="仿宋" w:cs="仿宋"/>
          <w:sz w:val="28"/>
          <w:szCs w:val="28"/>
          <w:shd w:val="clear" w:color="auto" w:fill="FFFFFF"/>
        </w:rPr>
        <w:t>的学习型社会建设。遴选一批在智慧校园、课程再造、家校共育等方面有基础、有特色的学校，重点打造3</w:t>
      </w:r>
      <w:r>
        <w:rPr>
          <w:rFonts w:ascii="仿宋" w:hAnsi="仿宋" w:eastAsia="仿宋" w:cs="仿宋"/>
          <w:sz w:val="28"/>
          <w:szCs w:val="28"/>
          <w:shd w:val="clear" w:color="auto" w:fill="FFFFFF"/>
        </w:rPr>
        <w:t>-5</w:t>
      </w:r>
      <w:r>
        <w:rPr>
          <w:rFonts w:hint="eastAsia" w:ascii="仿宋" w:hAnsi="仿宋" w:eastAsia="仿宋" w:cs="仿宋"/>
          <w:sz w:val="28"/>
          <w:szCs w:val="28"/>
          <w:shd w:val="clear" w:color="auto" w:fill="FFFFFF"/>
        </w:rPr>
        <w:t>所“有人性、有温度、有故事、有美感”的“新样态学校”样板，8-1</w:t>
      </w:r>
      <w:r>
        <w:rPr>
          <w:rFonts w:ascii="仿宋" w:hAnsi="仿宋" w:eastAsia="仿宋" w:cs="仿宋"/>
          <w:sz w:val="28"/>
          <w:szCs w:val="28"/>
          <w:shd w:val="clear" w:color="auto" w:fill="FFFFFF"/>
        </w:rPr>
        <w:t>0</w:t>
      </w:r>
      <w:r>
        <w:rPr>
          <w:rFonts w:hint="eastAsia" w:ascii="仿宋" w:hAnsi="仿宋" w:eastAsia="仿宋" w:cs="仿宋"/>
          <w:sz w:val="28"/>
          <w:szCs w:val="28"/>
          <w:shd w:val="clear" w:color="auto" w:fill="FFFFFF"/>
        </w:rPr>
        <w:t>所市级“未来教育”窗口校，“未来教育”窗口形象在全省乃至全国形成示范效应。</w:t>
      </w:r>
    </w:p>
    <w:p>
      <w:pPr>
        <w:pStyle w:val="5"/>
        <w:widowControl w:val="0"/>
        <w:spacing w:before="120" w:after="60" w:line="360" w:lineRule="auto"/>
        <w:ind w:firstLine="562" w:firstLineChars="200"/>
        <w:rPr>
          <w:rFonts w:ascii="仿宋" w:hAnsi="仿宋" w:eastAsia="仿宋" w:cs="仿宋"/>
          <w:sz w:val="28"/>
          <w:szCs w:val="21"/>
        </w:rPr>
      </w:pPr>
      <w:bookmarkStart w:id="48" w:name="_Toc57407136"/>
      <w:bookmarkStart w:id="49" w:name="_Toc18994"/>
      <w:bookmarkStart w:id="50" w:name="_Toc16390"/>
      <w:bookmarkStart w:id="51" w:name="_Toc11155"/>
      <w:r>
        <w:rPr>
          <w:rFonts w:hint="eastAsia" w:ascii="仿宋" w:hAnsi="仿宋" w:eastAsia="仿宋" w:cs="仿宋"/>
          <w:sz w:val="28"/>
          <w:szCs w:val="21"/>
        </w:rPr>
        <w:t>（四）协同发展，推进教育治理现代化</w:t>
      </w:r>
      <w:bookmarkEnd w:id="48"/>
      <w:bookmarkEnd w:id="49"/>
      <w:bookmarkEnd w:id="50"/>
      <w:bookmarkEnd w:id="51"/>
    </w:p>
    <w:p>
      <w:pPr>
        <w:widowControl w:val="0"/>
        <w:spacing w:after="60" w:line="360" w:lineRule="auto"/>
        <w:ind w:firstLine="560" w:firstLineChars="200"/>
        <w:jc w:val="both"/>
        <w:rPr>
          <w:rFonts w:ascii="仿宋" w:hAnsi="仿宋" w:eastAsia="仿宋" w:cs="仿宋"/>
          <w:sz w:val="28"/>
          <w:szCs w:val="28"/>
        </w:rPr>
      </w:pPr>
      <w:r>
        <w:rPr>
          <w:rFonts w:hint="eastAsia" w:ascii="仿宋" w:hAnsi="仿宋" w:eastAsia="仿宋" w:cs="仿宋"/>
          <w:sz w:val="28"/>
          <w:szCs w:val="28"/>
        </w:rPr>
        <w:t>坚持党对教育事业的领导，坚持依法治教。不断完善教育决策、执行、监督、评估和保障机制，健全教育管理制度体系，构建管办评分离，政府、学校、社会有机协同的治理格局，稳步推进区域教育治理体系和治理能力现代化。</w:t>
      </w:r>
    </w:p>
    <w:p>
      <w:pPr>
        <w:widowControl w:val="0"/>
        <w:spacing w:after="60" w:line="360" w:lineRule="auto"/>
        <w:ind w:firstLine="562" w:firstLineChars="200"/>
        <w:jc w:val="both"/>
        <w:rPr>
          <w:rFonts w:ascii="仿宋" w:hAnsi="仿宋" w:eastAsia="仿宋" w:cs="仿宋"/>
          <w:sz w:val="28"/>
          <w:szCs w:val="28"/>
        </w:rPr>
      </w:pPr>
      <w:r>
        <w:rPr>
          <w:rFonts w:hint="eastAsia" w:ascii="仿宋" w:hAnsi="仿宋" w:eastAsia="仿宋" w:cs="仿宋"/>
          <w:b/>
          <w:bCs/>
          <w:sz w:val="28"/>
          <w:szCs w:val="28"/>
        </w:rPr>
        <w:t>——坚持依法治教。</w:t>
      </w:r>
      <w:r>
        <w:rPr>
          <w:rFonts w:hint="eastAsia" w:ascii="仿宋" w:hAnsi="仿宋" w:eastAsia="仿宋" w:cs="仿宋"/>
          <w:sz w:val="28"/>
          <w:szCs w:val="28"/>
        </w:rPr>
        <w:t>深化教育系统“最多跑一次”改革，推进政府数字化转型。完善教育决策、执行、监督、评估和保障机制，严格规范性文件立项、起草、公开等工作程序,坚持规范性文件事前合法性审查及事后备案制度,定期开展规范性文件清理；健全依法决策机制,完善多方论证、风险评估、合法性审查等重大行政决策程序，提升决策的科学性和规范性。规范教育行政执法行为，明确执法范畴、严格执法程序、严格执法机制，加强执法监督。建强</w:t>
      </w:r>
      <w:r>
        <w:rPr>
          <w:rFonts w:ascii="仿宋" w:hAnsi="仿宋" w:eastAsia="仿宋" w:cs="仿宋"/>
          <w:sz w:val="28"/>
          <w:szCs w:val="28"/>
        </w:rPr>
        <w:t>教育执法队伍</w:t>
      </w:r>
      <w:r>
        <w:rPr>
          <w:rFonts w:hint="eastAsia" w:ascii="仿宋" w:hAnsi="仿宋" w:eastAsia="仿宋" w:cs="仿宋"/>
          <w:sz w:val="28"/>
          <w:szCs w:val="28"/>
        </w:rPr>
        <w:t>，</w:t>
      </w:r>
      <w:r>
        <w:rPr>
          <w:rFonts w:ascii="仿宋" w:hAnsi="仿宋" w:eastAsia="仿宋" w:cs="仿宋"/>
          <w:sz w:val="28"/>
          <w:szCs w:val="28"/>
        </w:rPr>
        <w:t>积极探索解决教育热点难点问题的综合执法和联合执法机制，依法纠正学校和其他教育机构的违法违规行为</w:t>
      </w:r>
      <w:r>
        <w:rPr>
          <w:rFonts w:hint="eastAsia" w:ascii="仿宋" w:hAnsi="仿宋" w:eastAsia="仿宋" w:cs="仿宋"/>
          <w:sz w:val="28"/>
          <w:szCs w:val="28"/>
        </w:rPr>
        <w:t>。实现以法治思维和法治方法抓教育治理，以依法治校实现依法兴教。</w:t>
      </w:r>
    </w:p>
    <w:p>
      <w:pPr>
        <w:widowControl w:val="0"/>
        <w:spacing w:after="60" w:line="360" w:lineRule="auto"/>
        <w:ind w:firstLine="562" w:firstLineChars="200"/>
        <w:jc w:val="both"/>
        <w:rPr>
          <w:rFonts w:ascii="仿宋" w:hAnsi="仿宋" w:eastAsia="仿宋" w:cs="仿宋"/>
          <w:sz w:val="28"/>
          <w:szCs w:val="28"/>
        </w:rPr>
      </w:pPr>
      <w:r>
        <w:rPr>
          <w:rFonts w:hint="eastAsia" w:ascii="仿宋" w:hAnsi="仿宋" w:eastAsia="仿宋" w:cs="仿宋"/>
          <w:b/>
          <w:bCs/>
          <w:sz w:val="28"/>
          <w:szCs w:val="28"/>
        </w:rPr>
        <w:t>——健全制度体系。</w:t>
      </w:r>
      <w:r>
        <w:rPr>
          <w:rFonts w:hint="eastAsia" w:ascii="仿宋" w:hAnsi="仿宋" w:eastAsia="仿宋" w:cs="仿宋"/>
          <w:sz w:val="28"/>
          <w:szCs w:val="28"/>
        </w:rPr>
        <w:t>深入推进学校（幼儿园）章程的修订与执行机制,优化学校组织管理机制，健全学校内部治理结构和民主管理机制，推动管理重心下沉化，管理架构扁平化，管理流程规范化，管理监督常态化。进一步发挥学术委员会、教代会、学代会在学校民主管理中的作用，完善学校内部治理机构。健全学校校本化评估机制，加强内部教育质量保证体系建设，形成常态化以评促改、以评促建机制，推动教育质量持续螺旋上升。深化教育“最多跑一次”改革，依托智慧校园网络建设网上办事大厅，精简工作事项，优化审批流程，提升工作效能。</w:t>
      </w:r>
    </w:p>
    <w:p>
      <w:pPr>
        <w:widowControl w:val="0"/>
        <w:spacing w:after="60" w:line="360" w:lineRule="auto"/>
        <w:ind w:firstLine="562" w:firstLineChars="200"/>
        <w:jc w:val="both"/>
        <w:rPr>
          <w:rFonts w:ascii="仿宋" w:hAnsi="仿宋" w:eastAsia="仿宋" w:cs="仿宋"/>
          <w:sz w:val="28"/>
          <w:szCs w:val="28"/>
        </w:rPr>
      </w:pPr>
      <w:r>
        <w:rPr>
          <w:rFonts w:hint="eastAsia" w:ascii="仿宋" w:hAnsi="仿宋" w:eastAsia="仿宋" w:cs="仿宋"/>
          <w:b/>
          <w:bCs/>
          <w:sz w:val="28"/>
          <w:szCs w:val="28"/>
        </w:rPr>
        <w:t>——推进协同治理。</w:t>
      </w:r>
      <w:r>
        <w:rPr>
          <w:rFonts w:hint="eastAsia" w:ascii="仿宋" w:hAnsi="仿宋" w:eastAsia="仿宋" w:cs="仿宋"/>
          <w:sz w:val="28"/>
          <w:szCs w:val="28"/>
        </w:rPr>
        <w:t>吸纳社会团体、行业企业等社会力量共同参与教育治理。完善民办教育公共政策体系，规范私立学校、幼儿园、培训机构的运行管理，强化其对公办教育的重要补充作用；探索公建民办、公民合作、混合所有制等新办学体制。建立健全教育重大事项公示与听证制度,落实和扩大人民群众对教育决策的参与。加强社会监督，及时公布各项教育发展规划、政策意见的制订、实施进展情况，公开教育经费预算与执行情况，接受学生家长、社会、媒体参与规划实施的监督，将社会各界对规划实施的评价作为重要的评估依据。积极应对教育领域出现的新情况和新问题,有效化解矛盾,积极维护社会稳定,确保在法治轨道上有序推进教育改革和发展。</w:t>
      </w:r>
    </w:p>
    <w:p>
      <w:pPr>
        <w:pStyle w:val="5"/>
        <w:widowControl w:val="0"/>
        <w:spacing w:before="120" w:after="60" w:line="360" w:lineRule="auto"/>
        <w:ind w:firstLine="562" w:firstLineChars="200"/>
        <w:rPr>
          <w:rFonts w:ascii="仿宋" w:hAnsi="仿宋" w:eastAsia="仿宋" w:cs="仿宋"/>
          <w:sz w:val="28"/>
          <w:szCs w:val="21"/>
        </w:rPr>
      </w:pPr>
      <w:bookmarkStart w:id="52" w:name="_Toc9825"/>
      <w:bookmarkStart w:id="53" w:name="_Toc5095"/>
      <w:bookmarkStart w:id="54" w:name="_Toc57407137"/>
      <w:bookmarkStart w:id="55" w:name="_Toc18650"/>
      <w:r>
        <w:rPr>
          <w:rFonts w:hint="eastAsia" w:ascii="仿宋" w:hAnsi="仿宋" w:eastAsia="仿宋" w:cs="仿宋"/>
          <w:sz w:val="28"/>
          <w:szCs w:val="21"/>
        </w:rPr>
        <w:t>（五）开放共享，持续提升办学影响力</w:t>
      </w:r>
      <w:bookmarkEnd w:id="52"/>
      <w:bookmarkEnd w:id="53"/>
      <w:bookmarkEnd w:id="54"/>
      <w:bookmarkEnd w:id="55"/>
    </w:p>
    <w:p>
      <w:pPr>
        <w:widowControl w:val="0"/>
        <w:spacing w:after="60" w:line="360" w:lineRule="auto"/>
        <w:ind w:firstLine="560" w:firstLineChars="200"/>
        <w:jc w:val="both"/>
        <w:rPr>
          <w:rFonts w:ascii="仿宋" w:hAnsi="仿宋" w:eastAsia="仿宋" w:cs="仿宋"/>
          <w:sz w:val="28"/>
          <w:szCs w:val="28"/>
          <w:shd w:val="clear" w:color="auto" w:fill="FFFFFF"/>
        </w:rPr>
      </w:pPr>
      <w:r>
        <w:rPr>
          <w:rFonts w:hint="eastAsia" w:ascii="仿宋" w:hAnsi="仿宋" w:eastAsia="仿宋" w:cs="仿宋"/>
          <w:sz w:val="28"/>
          <w:szCs w:val="28"/>
          <w:shd w:val="clear" w:color="auto" w:fill="FFFFFF"/>
        </w:rPr>
        <w:t>坚持开放办学，立足“全市第一、全省一流”的教育定位，持续提升办学综合实力和区域影响力，把鹿城区教育打造成为全市优质教育的排头兵、教育体制机制改革的先行者、国际交流与合作的金名片，以人民群众满意度和社会评价美誉度来彰显鹿城区教育首位度。</w:t>
      </w:r>
    </w:p>
    <w:p>
      <w:pPr>
        <w:widowControl w:val="0"/>
        <w:spacing w:after="60" w:line="360" w:lineRule="auto"/>
        <w:ind w:firstLine="562" w:firstLineChars="200"/>
        <w:jc w:val="both"/>
        <w:rPr>
          <w:rFonts w:ascii="仿宋" w:hAnsi="仿宋" w:eastAsia="仿宋" w:cs="仿宋"/>
          <w:sz w:val="28"/>
          <w:szCs w:val="28"/>
          <w:shd w:val="clear" w:color="auto" w:fill="FFFFFF"/>
        </w:rPr>
      </w:pPr>
      <w:r>
        <w:rPr>
          <w:rFonts w:hint="eastAsia" w:ascii="仿宋" w:hAnsi="仿宋" w:eastAsia="仿宋" w:cs="仿宋"/>
          <w:b/>
          <w:bCs/>
          <w:sz w:val="28"/>
          <w:szCs w:val="28"/>
          <w:shd w:val="clear" w:color="auto" w:fill="FFFFFF"/>
        </w:rPr>
        <w:t>——夯实首位度，落实学在鹿城。</w:t>
      </w:r>
      <w:r>
        <w:rPr>
          <w:rFonts w:hint="eastAsia" w:ascii="仿宋" w:hAnsi="仿宋" w:eastAsia="仿宋" w:cs="仿宋"/>
          <w:sz w:val="28"/>
          <w:szCs w:val="28"/>
          <w:shd w:val="clear" w:color="auto" w:fill="FFFFFF"/>
        </w:rPr>
        <w:t>一是提升教育投入首位度，强化教育经费保障机制，加大教育财政投入，确保原市直学校的生均经费，教育专项资金，规划投资项目经费不能少，鹿城学校的教师实现与市直学校教师同城同待遇。二是提升教育设施建设首位度，制定三年行动计划，全面梳理排查旧城区教育配套设施陈旧、西部地区教学基础设施落后的学校（幼儿园），按照新的配套标准要求补足配套设施短板，彻底改变教育配套设施硬件落后的面貌。三是提升教育统筹布局首位度，确保教育规划同步乃至先行于城市土地空间规划，新建一批高起点、高标准、高规格的优质学校，按高标准规划设置教育配套设施。</w:t>
      </w:r>
    </w:p>
    <w:p>
      <w:pPr>
        <w:widowControl w:val="0"/>
        <w:spacing w:after="60" w:line="360" w:lineRule="auto"/>
        <w:ind w:firstLine="562" w:firstLineChars="200"/>
        <w:jc w:val="both"/>
        <w:rPr>
          <w:rFonts w:ascii="仿宋" w:hAnsi="仿宋" w:eastAsia="仿宋" w:cs="仿宋"/>
          <w:sz w:val="28"/>
          <w:szCs w:val="28"/>
        </w:rPr>
      </w:pPr>
      <w:r>
        <w:rPr>
          <w:rFonts w:hint="eastAsia" w:ascii="仿宋" w:hAnsi="仿宋" w:eastAsia="仿宋" w:cs="仿宋"/>
          <w:b/>
          <w:bCs/>
          <w:sz w:val="28"/>
          <w:szCs w:val="28"/>
        </w:rPr>
        <w:t>——增强辐射力，实施对口支援。</w:t>
      </w:r>
      <w:r>
        <w:rPr>
          <w:rFonts w:hint="eastAsia" w:ascii="仿宋" w:hAnsi="仿宋" w:eastAsia="仿宋" w:cs="仿宋"/>
          <w:sz w:val="28"/>
          <w:szCs w:val="28"/>
        </w:rPr>
        <w:t>贯彻落实《温州市推进长江三角洲区域一体化发展行动方案》，立足鹿城区教育高地，勇于担负起融入长三角教育发展体系的先锋使命，增进区域教育多元化合作和交流。进一步增强鹿城区优质教育品牌和资源的区域辐射力，定期开展“名师结对”“支教挂职”“帮扶共建”等对口支援活动，持续提升受援地区的教育质量和办学水平。深入开展“互联网+义务教育”中小学结对帮扶活动，通过远程教育、在线教育等形式让更多优质师资、优质课程惠及广袤乡村学校学生，助力缓解其基础教育资源不足、教育人才紧缺、配套设施薄弱的难题。“十四五”期间，实施区内城乡协作项目10个，市域山海协作项目15个、省际对口支援项目5个。</w:t>
      </w:r>
    </w:p>
    <w:p>
      <w:pPr>
        <w:widowControl w:val="0"/>
        <w:spacing w:after="60" w:line="360" w:lineRule="auto"/>
        <w:ind w:firstLine="562" w:firstLineChars="200"/>
        <w:jc w:val="both"/>
        <w:rPr>
          <w:rFonts w:ascii="仿宋" w:hAnsi="仿宋" w:eastAsia="仿宋" w:cs="仿宋"/>
          <w:sz w:val="28"/>
          <w:szCs w:val="28"/>
        </w:rPr>
      </w:pPr>
      <w:r>
        <w:rPr>
          <w:rFonts w:hint="eastAsia" w:ascii="仿宋" w:hAnsi="仿宋" w:eastAsia="仿宋" w:cs="仿宋"/>
          <w:b/>
          <w:bCs/>
          <w:sz w:val="28"/>
          <w:szCs w:val="28"/>
        </w:rPr>
        <w:t>——推进国际化，增进境外交流。</w:t>
      </w:r>
      <w:r>
        <w:rPr>
          <w:rFonts w:hint="eastAsia" w:ascii="仿宋" w:hAnsi="仿宋" w:eastAsia="仿宋" w:cs="仿宋"/>
          <w:sz w:val="28"/>
          <w:szCs w:val="28"/>
        </w:rPr>
        <w:t>实施“教育走出去”行动，设立教师出国（境）交流和研训专项经费，支持优秀教师出国（境）参加培训与交流，提升教师国际化视野，到</w:t>
      </w:r>
      <w:r>
        <w:rPr>
          <w:rFonts w:ascii="仿宋" w:hAnsi="仿宋" w:eastAsia="仿宋" w:cs="仿宋"/>
          <w:sz w:val="28"/>
          <w:szCs w:val="28"/>
        </w:rPr>
        <w:t xml:space="preserve">2025 </w:t>
      </w:r>
      <w:r>
        <w:rPr>
          <w:rFonts w:hint="eastAsia" w:ascii="仿宋" w:hAnsi="仿宋" w:eastAsia="仿宋" w:cs="仿宋"/>
          <w:sz w:val="28"/>
          <w:szCs w:val="28"/>
        </w:rPr>
        <w:t>年，争取义务教育阶段专任教师拥有境外学习研修经历比例达到</w:t>
      </w:r>
      <w:r>
        <w:rPr>
          <w:rFonts w:ascii="仿宋" w:hAnsi="仿宋" w:eastAsia="仿宋" w:cs="仿宋"/>
          <w:sz w:val="28"/>
          <w:szCs w:val="28"/>
        </w:rPr>
        <w:t>3%</w:t>
      </w:r>
      <w:r>
        <w:rPr>
          <w:rFonts w:hint="eastAsia" w:ascii="仿宋" w:hAnsi="仿宋" w:eastAsia="仿宋" w:cs="仿宋"/>
          <w:sz w:val="28"/>
          <w:szCs w:val="28"/>
        </w:rPr>
        <w:t>。支持温州市轻工职业学校在东南亚、非洲等地设立合作点，参与在温高职院校鲁班工坊项目建设与运作。实施“教育引进来”，把鹿城打造成“一带一路”沿线国家和港澳台地区学习来温学习深造的首选地。充分改善外籍人士在鹿城学习环境。启动国际化学校建设项目，创建1-2所高端国际化学校（幼儿园），以满足外籍学生、华侨子女接受高层次教育及本地学生接受国际化教育的需求。健全外籍教师聘用与管理制度，打造全英语授课的国际化专业师资队伍，到2025年，全区拥有全职外籍教师的学校比例不低于10%。</w:t>
      </w:r>
    </w:p>
    <w:p>
      <w:pPr>
        <w:pStyle w:val="2"/>
        <w:rPr>
          <w:del w:id="8" w:author="文心雕龙" w:date="2021-09-03T15:48:00Z"/>
        </w:rPr>
      </w:pPr>
    </w:p>
    <w:p>
      <w:pPr>
        <w:pStyle w:val="4"/>
        <w:widowControl w:val="0"/>
        <w:spacing w:before="240" w:after="60" w:line="360" w:lineRule="auto"/>
        <w:ind w:firstLine="723" w:firstLineChars="200"/>
        <w:jc w:val="both"/>
        <w:rPr>
          <w:rFonts w:ascii="仿宋" w:hAnsi="仿宋" w:eastAsia="仿宋" w:cs="仿宋"/>
          <w:sz w:val="36"/>
          <w:szCs w:val="20"/>
        </w:rPr>
        <w:pPrChange w:id="9" w:author="文心雕龙" w:date="2021-09-03T15:48:00Z">
          <w:pPr>
            <w:pStyle w:val="4"/>
            <w:widowControl w:val="0"/>
            <w:spacing w:before="240" w:after="60" w:line="360" w:lineRule="auto"/>
            <w:jc w:val="both"/>
          </w:pPr>
        </w:pPrChange>
      </w:pPr>
      <w:bookmarkStart w:id="56" w:name="_Toc18638"/>
      <w:bookmarkStart w:id="57" w:name="_Toc24914"/>
      <w:bookmarkStart w:id="58" w:name="_Toc5097"/>
      <w:r>
        <w:rPr>
          <w:rFonts w:hint="eastAsia" w:ascii="仿宋" w:hAnsi="仿宋" w:eastAsia="仿宋" w:cs="仿宋"/>
          <w:sz w:val="36"/>
          <w:szCs w:val="20"/>
        </w:rPr>
        <w:t>五、保障机制</w:t>
      </w:r>
      <w:bookmarkEnd w:id="56"/>
      <w:bookmarkEnd w:id="57"/>
      <w:bookmarkEnd w:id="58"/>
    </w:p>
    <w:p>
      <w:pPr>
        <w:widowControl w:val="0"/>
        <w:spacing w:after="60" w:line="360" w:lineRule="auto"/>
        <w:ind w:firstLine="562" w:firstLineChars="200"/>
        <w:jc w:val="both"/>
        <w:outlineLvl w:val="1"/>
        <w:rPr>
          <w:rFonts w:ascii="仿宋" w:hAnsi="仿宋" w:eastAsia="仿宋" w:cs="仿宋"/>
          <w:b/>
          <w:bCs/>
          <w:sz w:val="28"/>
          <w:szCs w:val="28"/>
        </w:rPr>
      </w:pPr>
      <w:bookmarkStart w:id="59" w:name="_Toc454291990"/>
      <w:bookmarkStart w:id="60" w:name="_Toc19937"/>
      <w:r>
        <w:rPr>
          <w:rFonts w:hint="eastAsia" w:ascii="仿宋" w:hAnsi="仿宋" w:eastAsia="仿宋" w:cs="仿宋"/>
          <w:b/>
          <w:bCs/>
          <w:sz w:val="28"/>
          <w:szCs w:val="28"/>
        </w:rPr>
        <w:t>（一）</w:t>
      </w:r>
      <w:bookmarkEnd w:id="59"/>
      <w:r>
        <w:rPr>
          <w:rFonts w:hint="eastAsia" w:ascii="仿宋" w:hAnsi="仿宋" w:eastAsia="仿宋" w:cs="仿宋"/>
          <w:b/>
          <w:bCs/>
          <w:sz w:val="28"/>
          <w:szCs w:val="28"/>
        </w:rPr>
        <w:t>加强党的领导</w:t>
      </w:r>
      <w:bookmarkEnd w:id="60"/>
    </w:p>
    <w:p>
      <w:pPr>
        <w:widowControl w:val="0"/>
        <w:spacing w:after="60" w:line="360" w:lineRule="auto"/>
        <w:ind w:firstLine="560" w:firstLineChars="200"/>
        <w:jc w:val="both"/>
        <w:rPr>
          <w:rFonts w:ascii="仿宋" w:hAnsi="仿宋" w:eastAsia="仿宋" w:cs="仿宋"/>
          <w:sz w:val="28"/>
          <w:szCs w:val="28"/>
        </w:rPr>
      </w:pPr>
      <w:r>
        <w:rPr>
          <w:rFonts w:hint="eastAsia" w:ascii="仿宋" w:hAnsi="仿宋" w:eastAsia="仿宋" w:cs="仿宋"/>
          <w:sz w:val="28"/>
          <w:szCs w:val="28"/>
        </w:rPr>
        <w:t>完善教育领域党的领导制度体系，落实优先发展教育的责任，把教育改革纳入党委工作议事日程，把教育发展作为党委政绩考核的主要内容。</w:t>
      </w:r>
      <w:r>
        <w:rPr>
          <w:rFonts w:ascii="仿宋" w:hAnsi="仿宋" w:eastAsia="仿宋" w:cs="仿宋"/>
          <w:sz w:val="28"/>
          <w:szCs w:val="28"/>
        </w:rPr>
        <w:t>明晰党政管理路径</w:t>
      </w:r>
      <w:r>
        <w:rPr>
          <w:rFonts w:hint="eastAsia" w:ascii="仿宋" w:hAnsi="仿宋" w:eastAsia="仿宋" w:cs="仿宋"/>
          <w:sz w:val="28"/>
          <w:szCs w:val="28"/>
        </w:rPr>
        <w:t>，明确党组织议事决策规则，</w:t>
      </w:r>
      <w:r>
        <w:rPr>
          <w:rFonts w:ascii="仿宋" w:hAnsi="仿宋" w:eastAsia="仿宋" w:cs="仿宋"/>
          <w:sz w:val="28"/>
          <w:szCs w:val="28"/>
        </w:rPr>
        <w:t>探索建立中小学校党组织领导下的校长负责制</w:t>
      </w:r>
      <w:r>
        <w:rPr>
          <w:rFonts w:hint="eastAsia" w:ascii="仿宋" w:hAnsi="仿宋" w:eastAsia="仿宋" w:cs="仿宋"/>
          <w:sz w:val="28"/>
          <w:szCs w:val="28"/>
        </w:rPr>
        <w:t>，加快推进学校治理体系和治理能力现代化。坚持党对思想政治工作的领导，将思想政治工作贯穿学校教育教学全过程，使教育领域成为坚持党的领导的坚强阵地。加强基层党组织建设，</w:t>
      </w:r>
      <w:r>
        <w:rPr>
          <w:rFonts w:ascii="仿宋" w:hAnsi="仿宋" w:eastAsia="仿宋" w:cs="仿宋"/>
          <w:sz w:val="28"/>
          <w:szCs w:val="28"/>
        </w:rPr>
        <w:t>充分发挥党组织领导和引领作用，把党的思想政治组织优势转化为教育改革发展的优势</w:t>
      </w:r>
      <w:r>
        <w:rPr>
          <w:rFonts w:hint="eastAsia" w:ascii="仿宋" w:hAnsi="仿宋" w:eastAsia="仿宋" w:cs="仿宋"/>
          <w:sz w:val="28"/>
          <w:szCs w:val="28"/>
        </w:rPr>
        <w:t>。创新党建工作思路，激发基础创新活力，高标准</w:t>
      </w:r>
      <w:r>
        <w:rPr>
          <w:rFonts w:ascii="仿宋" w:hAnsi="仿宋" w:eastAsia="仿宋" w:cs="仿宋"/>
          <w:sz w:val="28"/>
          <w:szCs w:val="28"/>
        </w:rPr>
        <w:t>打造学校党建示范带、党员名师工作室、党建联盟等</w:t>
      </w:r>
      <w:r>
        <w:rPr>
          <w:rFonts w:hint="eastAsia" w:ascii="仿宋" w:hAnsi="仿宋" w:eastAsia="仿宋" w:cs="仿宋"/>
          <w:sz w:val="28"/>
          <w:szCs w:val="28"/>
        </w:rPr>
        <w:t>党建“</w:t>
      </w:r>
      <w:r>
        <w:rPr>
          <w:rFonts w:ascii="仿宋" w:hAnsi="仿宋" w:eastAsia="仿宋" w:cs="仿宋"/>
          <w:sz w:val="28"/>
          <w:szCs w:val="28"/>
        </w:rPr>
        <w:t>品牌样板</w:t>
      </w:r>
      <w:r>
        <w:rPr>
          <w:rFonts w:hint="eastAsia" w:ascii="仿宋" w:hAnsi="仿宋" w:eastAsia="仿宋" w:cs="仿宋"/>
          <w:sz w:val="28"/>
          <w:szCs w:val="28"/>
        </w:rPr>
        <w:t>”。利用鹿城红色资源优势</w:t>
      </w:r>
      <w:r>
        <w:rPr>
          <w:rFonts w:ascii="仿宋" w:hAnsi="仿宋" w:eastAsia="仿宋" w:cs="仿宋"/>
          <w:sz w:val="28"/>
          <w:szCs w:val="28"/>
        </w:rPr>
        <w:t>，聚焦红色基因传承</w:t>
      </w:r>
      <w:r>
        <w:rPr>
          <w:rFonts w:hint="eastAsia" w:ascii="仿宋" w:hAnsi="仿宋" w:eastAsia="仿宋" w:cs="仿宋"/>
          <w:sz w:val="28"/>
          <w:szCs w:val="28"/>
        </w:rPr>
        <w:t>、</w:t>
      </w:r>
      <w:r>
        <w:rPr>
          <w:rFonts w:ascii="仿宋" w:hAnsi="仿宋" w:eastAsia="仿宋" w:cs="仿宋"/>
          <w:sz w:val="28"/>
          <w:szCs w:val="28"/>
        </w:rPr>
        <w:t>政治启蒙和价值观塑造</w:t>
      </w:r>
      <w:bookmarkStart w:id="61" w:name="_Toc454291992"/>
      <w:r>
        <w:rPr>
          <w:rFonts w:hint="eastAsia" w:ascii="仿宋" w:hAnsi="仿宋" w:eastAsia="仿宋" w:cs="仿宋"/>
          <w:sz w:val="28"/>
          <w:szCs w:val="28"/>
        </w:rPr>
        <w:t>，不断</w:t>
      </w:r>
      <w:r>
        <w:rPr>
          <w:rFonts w:ascii="仿宋" w:hAnsi="仿宋" w:eastAsia="仿宋" w:cs="仿宋"/>
          <w:sz w:val="28"/>
          <w:szCs w:val="28"/>
        </w:rPr>
        <w:t>推进</w:t>
      </w:r>
      <w:r>
        <w:rPr>
          <w:rFonts w:hint="eastAsia" w:ascii="仿宋" w:hAnsi="仿宋" w:eastAsia="仿宋" w:cs="仿宋"/>
          <w:sz w:val="28"/>
          <w:szCs w:val="28"/>
        </w:rPr>
        <w:t>共青团和</w:t>
      </w:r>
      <w:r>
        <w:rPr>
          <w:rFonts w:ascii="仿宋" w:hAnsi="仿宋" w:eastAsia="仿宋" w:cs="仿宋"/>
          <w:sz w:val="28"/>
          <w:szCs w:val="28"/>
        </w:rPr>
        <w:t>少先队组织创新</w:t>
      </w:r>
      <w:r>
        <w:rPr>
          <w:rFonts w:hint="eastAsia" w:ascii="仿宋" w:hAnsi="仿宋" w:eastAsia="仿宋" w:cs="仿宋"/>
          <w:sz w:val="28"/>
          <w:szCs w:val="28"/>
        </w:rPr>
        <w:t>与</w:t>
      </w:r>
      <w:r>
        <w:rPr>
          <w:rFonts w:ascii="仿宋" w:hAnsi="仿宋" w:eastAsia="仿宋" w:cs="仿宋"/>
          <w:sz w:val="28"/>
          <w:szCs w:val="28"/>
        </w:rPr>
        <w:t>工作创新</w:t>
      </w:r>
      <w:r>
        <w:rPr>
          <w:rFonts w:hint="eastAsia" w:ascii="仿宋" w:hAnsi="仿宋" w:eastAsia="仿宋" w:cs="仿宋"/>
          <w:sz w:val="28"/>
          <w:szCs w:val="28"/>
        </w:rPr>
        <w:t>。</w:t>
      </w:r>
    </w:p>
    <w:bookmarkEnd w:id="61"/>
    <w:p>
      <w:pPr>
        <w:widowControl w:val="0"/>
        <w:spacing w:after="60" w:line="360" w:lineRule="auto"/>
        <w:ind w:firstLine="562" w:firstLineChars="200"/>
        <w:jc w:val="both"/>
        <w:outlineLvl w:val="1"/>
        <w:rPr>
          <w:rFonts w:ascii="仿宋" w:hAnsi="仿宋" w:eastAsia="仿宋" w:cs="仿宋"/>
          <w:b/>
          <w:bCs/>
          <w:sz w:val="28"/>
          <w:szCs w:val="28"/>
        </w:rPr>
      </w:pPr>
      <w:bookmarkStart w:id="62" w:name="_Toc454291993"/>
      <w:bookmarkStart w:id="63" w:name="_Toc19569"/>
      <w:r>
        <w:rPr>
          <w:rFonts w:hint="eastAsia" w:ascii="仿宋" w:hAnsi="仿宋" w:eastAsia="仿宋" w:cs="仿宋"/>
          <w:b/>
          <w:bCs/>
          <w:sz w:val="28"/>
          <w:szCs w:val="28"/>
        </w:rPr>
        <w:t>（二）健全投入机制</w:t>
      </w:r>
      <w:bookmarkEnd w:id="62"/>
      <w:bookmarkEnd w:id="63"/>
    </w:p>
    <w:p>
      <w:pPr>
        <w:widowControl w:val="0"/>
        <w:spacing w:after="60" w:line="360" w:lineRule="auto"/>
        <w:ind w:firstLine="560" w:firstLineChars="200"/>
        <w:jc w:val="both"/>
        <w:rPr>
          <w:rFonts w:ascii="仿宋" w:hAnsi="仿宋" w:eastAsia="仿宋" w:cs="仿宋"/>
          <w:sz w:val="28"/>
          <w:szCs w:val="28"/>
        </w:rPr>
      </w:pPr>
      <w:r>
        <w:rPr>
          <w:rFonts w:hint="eastAsia" w:ascii="仿宋" w:hAnsi="仿宋" w:eastAsia="仿宋" w:cs="仿宋"/>
          <w:sz w:val="28"/>
          <w:szCs w:val="28"/>
        </w:rPr>
        <w:t>把教育作为财政支出的重点领域予以优先保障，</w:t>
      </w:r>
      <w:bookmarkStart w:id="64" w:name="_Toc454291995"/>
      <w:r>
        <w:rPr>
          <w:rFonts w:hint="eastAsia" w:ascii="仿宋" w:hAnsi="仿宋" w:eastAsia="仿宋" w:cs="仿宋"/>
          <w:sz w:val="28"/>
          <w:szCs w:val="28"/>
        </w:rPr>
        <w:t>建立健全保证教育投入持续稳定增长的长效机制，确保在校学生人均一般公共预算教育支出逐年只增不减。建立并落实教师与公务员工资联动长效机制，确保义务教育学校教师平均工资收入水平不低于本地公务员。</w:t>
      </w:r>
      <w:bookmarkEnd w:id="64"/>
      <w:r>
        <w:rPr>
          <w:rFonts w:hint="eastAsia" w:ascii="仿宋" w:hAnsi="仿宋" w:eastAsia="仿宋" w:cs="仿宋"/>
          <w:sz w:val="28"/>
          <w:szCs w:val="28"/>
        </w:rPr>
        <w:t>调整优化各级各类教育经费投入结构</w:t>
      </w:r>
      <w:r>
        <w:rPr>
          <w:rFonts w:ascii="仿宋" w:hAnsi="仿宋" w:eastAsia="仿宋" w:cs="仿宋"/>
          <w:sz w:val="28"/>
          <w:szCs w:val="28"/>
        </w:rPr>
        <w:t>，</w:t>
      </w:r>
      <w:r>
        <w:rPr>
          <w:rFonts w:hint="eastAsia" w:ascii="仿宋" w:hAnsi="仿宋" w:eastAsia="仿宋" w:cs="仿宋"/>
          <w:sz w:val="28"/>
          <w:szCs w:val="28"/>
        </w:rPr>
        <w:t>财政投入向教育优质均衡发展、教师队伍建设、“未来教育”体系建设等重点领域倾斜。</w:t>
      </w:r>
      <w:r>
        <w:rPr>
          <w:rFonts w:ascii="仿宋" w:hAnsi="仿宋" w:eastAsia="仿宋" w:cs="仿宋"/>
          <w:sz w:val="28"/>
          <w:szCs w:val="28"/>
        </w:rPr>
        <w:t>健全学生资助</w:t>
      </w:r>
      <w:r>
        <w:rPr>
          <w:rFonts w:hint="eastAsia" w:ascii="仿宋" w:hAnsi="仿宋" w:eastAsia="仿宋" w:cs="仿宋"/>
          <w:sz w:val="28"/>
          <w:szCs w:val="28"/>
        </w:rPr>
        <w:t>工作</w:t>
      </w:r>
      <w:r>
        <w:rPr>
          <w:rFonts w:ascii="仿宋" w:hAnsi="仿宋" w:eastAsia="仿宋" w:cs="仿宋"/>
          <w:sz w:val="28"/>
          <w:szCs w:val="28"/>
        </w:rPr>
        <w:t>制度</w:t>
      </w:r>
      <w:r>
        <w:rPr>
          <w:rFonts w:hint="eastAsia" w:ascii="仿宋" w:hAnsi="仿宋" w:eastAsia="仿宋" w:cs="仿宋"/>
          <w:sz w:val="28"/>
          <w:szCs w:val="28"/>
        </w:rPr>
        <w:t>，完善覆盖各级各类教育的学生资助体系，</w:t>
      </w:r>
      <w:r>
        <w:rPr>
          <w:rFonts w:ascii="仿宋" w:hAnsi="仿宋" w:eastAsia="仿宋" w:cs="仿宋"/>
          <w:sz w:val="28"/>
          <w:szCs w:val="28"/>
        </w:rPr>
        <w:t>全面推进精准资助</w:t>
      </w:r>
      <w:r>
        <w:rPr>
          <w:rFonts w:hint="eastAsia" w:ascii="仿宋" w:hAnsi="仿宋" w:eastAsia="仿宋" w:cs="仿宋"/>
          <w:sz w:val="28"/>
          <w:szCs w:val="28"/>
        </w:rPr>
        <w:t>和应助尽助。落实</w:t>
      </w:r>
      <w:r>
        <w:rPr>
          <w:rFonts w:ascii="仿宋" w:hAnsi="仿宋" w:eastAsia="仿宋" w:cs="仿宋"/>
          <w:sz w:val="28"/>
          <w:szCs w:val="28"/>
        </w:rPr>
        <w:t>财政部门监管责任，</w:t>
      </w:r>
      <w:r>
        <w:rPr>
          <w:rFonts w:hint="eastAsia" w:ascii="仿宋" w:hAnsi="仿宋" w:eastAsia="仿宋" w:cs="仿宋"/>
          <w:sz w:val="28"/>
          <w:szCs w:val="28"/>
        </w:rPr>
        <w:t>完善</w:t>
      </w:r>
      <w:r>
        <w:rPr>
          <w:rFonts w:ascii="仿宋" w:hAnsi="仿宋" w:eastAsia="仿宋" w:cs="仿宋"/>
          <w:sz w:val="28"/>
          <w:szCs w:val="28"/>
        </w:rPr>
        <w:t>教育财政资金监管机制</w:t>
      </w:r>
      <w:r>
        <w:rPr>
          <w:rFonts w:hint="eastAsia" w:ascii="仿宋" w:hAnsi="仿宋" w:eastAsia="仿宋" w:cs="仿宋"/>
          <w:sz w:val="28"/>
          <w:szCs w:val="28"/>
        </w:rPr>
        <w:t>，</w:t>
      </w:r>
      <w:r>
        <w:rPr>
          <w:rFonts w:ascii="仿宋" w:hAnsi="仿宋" w:eastAsia="仿宋" w:cs="仿宋"/>
          <w:sz w:val="28"/>
          <w:szCs w:val="28"/>
        </w:rPr>
        <w:t>优化教育财政资金动态监控平台功能，对各级各类教育财政资金进行动态监控，加强对教育经费支出进度、项目实施、绩效情况的跟踪督促</w:t>
      </w:r>
      <w:r>
        <w:rPr>
          <w:rFonts w:hint="eastAsia" w:ascii="仿宋" w:hAnsi="仿宋" w:eastAsia="仿宋" w:cs="仿宋"/>
          <w:sz w:val="28"/>
          <w:szCs w:val="28"/>
        </w:rPr>
        <w:t>。</w:t>
      </w:r>
    </w:p>
    <w:p>
      <w:pPr>
        <w:widowControl w:val="0"/>
        <w:spacing w:after="60" w:line="360" w:lineRule="auto"/>
        <w:ind w:firstLine="562" w:firstLineChars="200"/>
        <w:jc w:val="both"/>
        <w:outlineLvl w:val="1"/>
        <w:rPr>
          <w:rFonts w:ascii="仿宋" w:hAnsi="仿宋" w:eastAsia="仿宋" w:cs="仿宋"/>
          <w:b/>
          <w:bCs/>
          <w:sz w:val="28"/>
          <w:szCs w:val="28"/>
        </w:rPr>
      </w:pPr>
      <w:bookmarkStart w:id="65" w:name="_Toc454292000"/>
      <w:bookmarkStart w:id="66" w:name="_Toc31737"/>
      <w:r>
        <w:rPr>
          <w:rFonts w:hint="eastAsia" w:ascii="仿宋" w:hAnsi="仿宋" w:eastAsia="仿宋" w:cs="仿宋"/>
          <w:b/>
          <w:bCs/>
          <w:sz w:val="28"/>
          <w:szCs w:val="28"/>
        </w:rPr>
        <w:t>（三）</w:t>
      </w:r>
      <w:bookmarkEnd w:id="65"/>
      <w:bookmarkStart w:id="67" w:name="_Toc454292004"/>
      <w:r>
        <w:rPr>
          <w:rFonts w:hint="eastAsia" w:ascii="仿宋" w:hAnsi="仿宋" w:eastAsia="仿宋" w:cs="仿宋"/>
          <w:b/>
          <w:bCs/>
          <w:sz w:val="28"/>
          <w:szCs w:val="28"/>
        </w:rPr>
        <w:t>强化督导问效</w:t>
      </w:r>
      <w:bookmarkEnd w:id="66"/>
    </w:p>
    <w:p>
      <w:pPr>
        <w:widowControl w:val="0"/>
        <w:spacing w:after="60" w:line="360" w:lineRule="auto"/>
        <w:ind w:firstLine="560" w:firstLineChars="200"/>
        <w:jc w:val="both"/>
        <w:rPr>
          <w:rFonts w:ascii="仿宋" w:hAnsi="仿宋" w:eastAsia="仿宋" w:cs="仿宋"/>
          <w:sz w:val="28"/>
          <w:szCs w:val="28"/>
        </w:rPr>
      </w:pPr>
      <w:r>
        <w:rPr>
          <w:rFonts w:hint="eastAsia" w:ascii="仿宋" w:hAnsi="仿宋" w:eastAsia="仿宋" w:cs="仿宋"/>
          <w:sz w:val="28"/>
          <w:szCs w:val="28"/>
        </w:rPr>
        <w:t>建立机构健全、队伍专业、程序规范、结果权威、覆盖全面、运转高效、问责有力的教育督导体制和评价机制。深化“管、办、评”分离改革，健全第三方评价模式，构筑特色鲜明、科学高效的教育评价机制。完善政府履行教育职责的督政机制，强化部门统筹协调，落实教育优先发展战略。实施以建设现代化学校为导向的覆盖各级各类学校的督导机制，督促学校规范办学行为。以</w:t>
      </w:r>
      <w:r>
        <w:rPr>
          <w:rFonts w:ascii="仿宋" w:hAnsi="仿宋" w:eastAsia="仿宋" w:cs="Arial"/>
          <w:sz w:val="28"/>
          <w:szCs w:val="28"/>
        </w:rPr>
        <w:t>《深化新时代教育评价改革总体方案》</w:t>
      </w:r>
      <w:r>
        <w:rPr>
          <w:rFonts w:hint="eastAsia" w:ascii="仿宋" w:hAnsi="仿宋" w:eastAsia="仿宋" w:cs="Arial"/>
          <w:sz w:val="28"/>
          <w:szCs w:val="28"/>
        </w:rPr>
        <w:t>为指引，科学构建</w:t>
      </w:r>
      <w:r>
        <w:rPr>
          <w:rFonts w:ascii="仿宋" w:hAnsi="仿宋" w:eastAsia="仿宋" w:cs="Arial"/>
          <w:sz w:val="28"/>
          <w:szCs w:val="18"/>
        </w:rPr>
        <w:t>符合时代要求的教育评价机制</w:t>
      </w:r>
      <w:r>
        <w:rPr>
          <w:rFonts w:hint="eastAsia" w:ascii="仿宋" w:hAnsi="仿宋" w:eastAsia="仿宋" w:cs="Arial"/>
          <w:sz w:val="28"/>
          <w:szCs w:val="18"/>
        </w:rPr>
        <w:t>，持续</w:t>
      </w:r>
      <w:r>
        <w:rPr>
          <w:rFonts w:ascii="仿宋" w:hAnsi="仿宋" w:eastAsia="仿宋" w:cs="Arial"/>
          <w:sz w:val="28"/>
          <w:szCs w:val="28"/>
        </w:rPr>
        <w:t>改进结果评价，强化过程评价，探索增值评价，健全综合评价</w:t>
      </w:r>
      <w:r>
        <w:rPr>
          <w:rFonts w:hint="eastAsia" w:ascii="仿宋" w:hAnsi="仿宋" w:eastAsia="仿宋" w:cs="仿宋"/>
          <w:sz w:val="28"/>
          <w:szCs w:val="28"/>
        </w:rPr>
        <w:t>。聚焦教育生态，建立督导问责机制，对教育热点难点问题和重点工作开展专项督导，对教育重大突发事件进行专项督导，维护良好教育生态环境。</w:t>
      </w:r>
    </w:p>
    <w:p>
      <w:pPr>
        <w:widowControl w:val="0"/>
        <w:spacing w:after="60" w:line="360" w:lineRule="auto"/>
        <w:ind w:firstLine="562" w:firstLineChars="200"/>
        <w:jc w:val="both"/>
        <w:outlineLvl w:val="1"/>
        <w:rPr>
          <w:rFonts w:ascii="仿宋" w:hAnsi="仿宋" w:eastAsia="仿宋" w:cs="仿宋"/>
          <w:b/>
          <w:bCs/>
          <w:sz w:val="28"/>
          <w:szCs w:val="28"/>
        </w:rPr>
      </w:pPr>
      <w:bookmarkStart w:id="68" w:name="_Toc17383"/>
      <w:r>
        <w:rPr>
          <w:rFonts w:hint="eastAsia" w:ascii="仿宋" w:hAnsi="仿宋" w:eastAsia="仿宋" w:cs="仿宋"/>
          <w:b/>
          <w:bCs/>
          <w:sz w:val="28"/>
          <w:szCs w:val="28"/>
        </w:rPr>
        <w:t>（四）</w:t>
      </w:r>
      <w:bookmarkEnd w:id="67"/>
      <w:r>
        <w:rPr>
          <w:rFonts w:hint="eastAsia" w:ascii="仿宋" w:hAnsi="仿宋" w:eastAsia="仿宋" w:cs="仿宋"/>
          <w:b/>
          <w:bCs/>
          <w:sz w:val="28"/>
          <w:szCs w:val="28"/>
        </w:rPr>
        <w:t>营造良好氛围</w:t>
      </w:r>
      <w:bookmarkEnd w:id="68"/>
    </w:p>
    <w:p>
      <w:pPr>
        <w:widowControl w:val="0"/>
        <w:spacing w:after="60" w:line="360" w:lineRule="auto"/>
        <w:ind w:firstLine="560" w:firstLineChars="200"/>
        <w:jc w:val="both"/>
        <w:rPr>
          <w:del w:id="10" w:author="文心雕龙" w:date="2021-09-22T16:30:00Z"/>
          <w:rFonts w:ascii="仿宋" w:hAnsi="仿宋" w:eastAsia="仿宋" w:cs="仿宋"/>
          <w:sz w:val="28"/>
          <w:szCs w:val="28"/>
        </w:rPr>
      </w:pPr>
      <w:r>
        <w:rPr>
          <w:rFonts w:ascii="仿宋" w:hAnsi="仿宋" w:eastAsia="仿宋" w:cs="仿宋"/>
          <w:sz w:val="28"/>
          <w:szCs w:val="28"/>
        </w:rPr>
        <w:t>构建良好的法治生态和社会舆论生态，</w:t>
      </w:r>
      <w:r>
        <w:rPr>
          <w:rFonts w:hint="eastAsia" w:ascii="仿宋" w:hAnsi="仿宋" w:eastAsia="仿宋" w:cs="仿宋"/>
          <w:sz w:val="28"/>
          <w:szCs w:val="28"/>
        </w:rPr>
        <w:t>发挥宣传新阵地作用，提高</w:t>
      </w:r>
      <w:r>
        <w:rPr>
          <w:rFonts w:ascii="仿宋" w:hAnsi="仿宋" w:eastAsia="仿宋" w:cs="仿宋"/>
          <w:sz w:val="28"/>
          <w:szCs w:val="28"/>
        </w:rPr>
        <w:t>宣传引导</w:t>
      </w:r>
      <w:r>
        <w:rPr>
          <w:rFonts w:hint="eastAsia" w:ascii="仿宋" w:hAnsi="仿宋" w:eastAsia="仿宋" w:cs="仿宋"/>
          <w:sz w:val="28"/>
          <w:szCs w:val="28"/>
        </w:rPr>
        <w:t>力</w:t>
      </w:r>
      <w:r>
        <w:rPr>
          <w:rFonts w:ascii="仿宋" w:hAnsi="仿宋" w:eastAsia="仿宋" w:cs="仿宋"/>
          <w:sz w:val="28"/>
          <w:szCs w:val="28"/>
        </w:rPr>
        <w:t>，</w:t>
      </w:r>
      <w:r>
        <w:rPr>
          <w:rFonts w:hint="eastAsia" w:ascii="仿宋" w:hAnsi="仿宋" w:eastAsia="仿宋" w:cs="仿宋"/>
          <w:sz w:val="28"/>
          <w:szCs w:val="28"/>
        </w:rPr>
        <w:t>利用鹿城名校名师资源优势，</w:t>
      </w:r>
      <w:r>
        <w:rPr>
          <w:rFonts w:ascii="仿宋" w:hAnsi="仿宋" w:eastAsia="仿宋" w:cs="仿宋"/>
          <w:sz w:val="28"/>
          <w:szCs w:val="28"/>
        </w:rPr>
        <w:t>精准用力、持续发力，</w:t>
      </w:r>
      <w:r>
        <w:rPr>
          <w:rFonts w:hint="eastAsia" w:ascii="仿宋" w:hAnsi="仿宋" w:eastAsia="仿宋" w:cs="仿宋"/>
          <w:sz w:val="28"/>
          <w:szCs w:val="28"/>
        </w:rPr>
        <w:t>通过树典型</w:t>
      </w:r>
      <w:r>
        <w:rPr>
          <w:rFonts w:ascii="仿宋" w:hAnsi="仿宋" w:eastAsia="仿宋" w:cs="仿宋"/>
          <w:sz w:val="28"/>
          <w:szCs w:val="28"/>
        </w:rPr>
        <w:t>，</w:t>
      </w:r>
      <w:r>
        <w:rPr>
          <w:rFonts w:hint="eastAsia" w:ascii="仿宋" w:hAnsi="仿宋" w:eastAsia="仿宋" w:cs="仿宋"/>
          <w:sz w:val="28"/>
          <w:szCs w:val="28"/>
        </w:rPr>
        <w:t>立标杆，</w:t>
      </w:r>
      <w:r>
        <w:rPr>
          <w:rFonts w:ascii="仿宋" w:hAnsi="仿宋" w:eastAsia="仿宋" w:cs="仿宋"/>
          <w:sz w:val="28"/>
          <w:szCs w:val="28"/>
        </w:rPr>
        <w:t>讲好</w:t>
      </w:r>
      <w:r>
        <w:rPr>
          <w:rFonts w:hint="eastAsia" w:ascii="仿宋" w:hAnsi="仿宋" w:eastAsia="仿宋" w:cs="仿宋"/>
          <w:sz w:val="28"/>
          <w:szCs w:val="28"/>
        </w:rPr>
        <w:t>鹿城</w:t>
      </w:r>
      <w:r>
        <w:rPr>
          <w:rFonts w:ascii="仿宋" w:hAnsi="仿宋" w:eastAsia="仿宋" w:cs="仿宋"/>
          <w:sz w:val="28"/>
          <w:szCs w:val="28"/>
        </w:rPr>
        <w:t>教育故事</w:t>
      </w:r>
      <w:r>
        <w:rPr>
          <w:rFonts w:hint="eastAsia" w:ascii="仿宋" w:hAnsi="仿宋" w:eastAsia="仿宋" w:cs="仿宋"/>
          <w:sz w:val="28"/>
          <w:szCs w:val="28"/>
        </w:rPr>
        <w:t>，</w:t>
      </w:r>
      <w:r>
        <w:rPr>
          <w:rFonts w:ascii="仿宋" w:hAnsi="仿宋" w:eastAsia="仿宋" w:cs="仿宋"/>
          <w:sz w:val="28"/>
          <w:szCs w:val="28"/>
        </w:rPr>
        <w:t>在全社会形成</w:t>
      </w:r>
      <w:r>
        <w:rPr>
          <w:rFonts w:hint="eastAsia" w:ascii="仿宋" w:hAnsi="仿宋" w:eastAsia="仿宋" w:cs="仿宋"/>
          <w:sz w:val="28"/>
          <w:szCs w:val="28"/>
        </w:rPr>
        <w:t>尊重知识、尊重教育、尊重人才</w:t>
      </w:r>
      <w:r>
        <w:rPr>
          <w:rFonts w:ascii="仿宋" w:hAnsi="仿宋" w:eastAsia="仿宋" w:cs="仿宋"/>
          <w:sz w:val="28"/>
          <w:szCs w:val="28"/>
        </w:rPr>
        <w:t>的</w:t>
      </w:r>
      <w:r>
        <w:rPr>
          <w:rFonts w:hint="eastAsia" w:ascii="仿宋" w:hAnsi="仿宋" w:eastAsia="仿宋" w:cs="仿宋"/>
          <w:sz w:val="28"/>
          <w:szCs w:val="28"/>
        </w:rPr>
        <w:t>良好</w:t>
      </w:r>
      <w:r>
        <w:rPr>
          <w:rFonts w:ascii="仿宋" w:hAnsi="仿宋" w:eastAsia="仿宋" w:cs="仿宋"/>
          <w:sz w:val="28"/>
          <w:szCs w:val="28"/>
        </w:rPr>
        <w:t>氛围。</w:t>
      </w:r>
      <w:r>
        <w:rPr>
          <w:rFonts w:hint="eastAsia" w:ascii="仿宋" w:hAnsi="仿宋" w:eastAsia="仿宋" w:cs="仿宋"/>
          <w:sz w:val="28"/>
          <w:szCs w:val="28"/>
        </w:rPr>
        <w:t>牢牢把握意识形态工作的领导权、管理权和话语权，严守教育教学阵地，筑牢</w:t>
      </w:r>
      <w:r>
        <w:rPr>
          <w:rFonts w:ascii="仿宋" w:hAnsi="仿宋" w:eastAsia="仿宋" w:cs="仿宋"/>
          <w:sz w:val="28"/>
          <w:szCs w:val="28"/>
        </w:rPr>
        <w:t>教育系统意识形态的</w:t>
      </w:r>
      <w:r>
        <w:rPr>
          <w:rFonts w:hint="eastAsia" w:ascii="仿宋" w:hAnsi="仿宋" w:eastAsia="仿宋" w:cs="仿宋"/>
          <w:sz w:val="28"/>
          <w:szCs w:val="28"/>
        </w:rPr>
        <w:t>思想</w:t>
      </w:r>
      <w:r>
        <w:rPr>
          <w:rFonts w:ascii="仿宋" w:hAnsi="仿宋" w:eastAsia="仿宋" w:cs="仿宋"/>
          <w:sz w:val="28"/>
          <w:szCs w:val="28"/>
        </w:rPr>
        <w:t>防线</w:t>
      </w:r>
      <w:r>
        <w:rPr>
          <w:rFonts w:hint="eastAsia" w:ascii="仿宋" w:hAnsi="仿宋" w:eastAsia="仿宋" w:cs="仿宋"/>
          <w:sz w:val="28"/>
          <w:szCs w:val="28"/>
        </w:rPr>
        <w:t>。建立校园及周边环境综合治理长效机制，</w:t>
      </w:r>
      <w:bookmarkStart w:id="69" w:name="_Toc454292005"/>
      <w:r>
        <w:rPr>
          <w:rFonts w:hint="eastAsia" w:ascii="仿宋" w:hAnsi="仿宋" w:eastAsia="仿宋" w:cs="仿宋"/>
          <w:sz w:val="28"/>
          <w:szCs w:val="28"/>
        </w:rPr>
        <w:t>深入开展“平安校园”</w:t>
      </w:r>
      <w:bookmarkEnd w:id="69"/>
      <w:r>
        <w:rPr>
          <w:rFonts w:hint="eastAsia" w:ascii="仿宋" w:hAnsi="仿宋" w:eastAsia="仿宋" w:cs="仿宋"/>
          <w:sz w:val="28"/>
          <w:szCs w:val="28"/>
        </w:rPr>
        <w:t>建设</w:t>
      </w:r>
      <w:bookmarkStart w:id="70" w:name="_Toc454292006"/>
      <w:r>
        <w:rPr>
          <w:rFonts w:hint="eastAsia" w:ascii="仿宋" w:hAnsi="仿宋" w:eastAsia="仿宋" w:cs="仿宋"/>
          <w:sz w:val="28"/>
          <w:szCs w:val="28"/>
        </w:rPr>
        <w:t>，不断完善以技防中心为枢纽，集人防、物防和技防于一体的校园治安防控体系，</w:t>
      </w:r>
      <w:r>
        <w:rPr>
          <w:rFonts w:ascii="仿宋" w:hAnsi="仿宋" w:eastAsia="仿宋" w:cs="仿宋"/>
          <w:sz w:val="28"/>
          <w:szCs w:val="28"/>
        </w:rPr>
        <w:t>形成“一校一网一平台”的安全管理模式</w:t>
      </w:r>
      <w:bookmarkEnd w:id="70"/>
      <w:r>
        <w:rPr>
          <w:rFonts w:hint="eastAsia" w:ascii="仿宋" w:hAnsi="仿宋" w:eastAsia="仿宋" w:cs="仿宋"/>
          <w:sz w:val="28"/>
          <w:szCs w:val="28"/>
        </w:rPr>
        <w:t>。巩固公共服务领域改革成果，将“最多跑一次”改革向教育服务领域进一步延伸，形成更加公平、优质、高效的教育公共服务新格局。</w:t>
      </w:r>
    </w:p>
    <w:p>
      <w:pPr>
        <w:spacing w:after="60" w:line="360" w:lineRule="auto"/>
        <w:ind w:firstLine="420" w:firstLineChars="200"/>
        <w:rPr>
          <w:del w:id="12" w:author="文心雕龙" w:date="2021-09-22T16:30:00Z"/>
          <w:rFonts w:ascii="宋体" w:hAnsi="宋体" w:eastAsia="宋体" w:cs="宋体"/>
          <w:color w:val="333333"/>
          <w:sz w:val="21"/>
          <w:szCs w:val="21"/>
          <w:shd w:val="clear" w:color="auto" w:fill="FFFFFF"/>
          <w:rPrChange w:id="13" w:author="马卡龙小红妹" w:date="2021-09-12T15:06:00Z">
            <w:rPr>
              <w:del w:id="14" w:author="文心雕龙" w:date="2021-09-22T16:30:00Z"/>
              <w:rFonts w:ascii="仿宋" w:hAnsi="仿宋" w:eastAsia="仿宋" w:cs="仿宋"/>
              <w:szCs w:val="28"/>
            </w:rPr>
          </w:rPrChange>
        </w:rPr>
        <w:pPrChange w:id="11" w:author="文心雕龙" w:date="2021-09-22T16:30:00Z">
          <w:pPr>
            <w:pStyle w:val="2"/>
          </w:pPr>
        </w:pPrChange>
      </w:pPr>
      <w:ins w:id="15" w:author="马卡龙小红妹" w:date="2021-09-12T15:05:00Z">
        <w:del w:id="16" w:author="文心雕龙" w:date="2021-09-22T16:30:00Z">
          <w:r>
            <w:rPr>
              <w:rFonts w:ascii="宋体" w:hAnsi="宋体" w:eastAsia="宋体" w:cs="宋体"/>
              <w:color w:val="000000"/>
              <w:sz w:val="21"/>
              <w:szCs w:val="21"/>
              <w:shd w:val="clear" w:color="auto" w:fill="FFFFFF"/>
              <w:rPrChange w:id="17" w:author="马卡龙小红妹" w:date="2021-09-12T15:06:00Z">
                <w:rPr>
                  <w:rFonts w:ascii="微软雅黑" w:hAnsi="微软雅黑" w:cs="微软雅黑"/>
                  <w:color w:val="000000"/>
                  <w:szCs w:val="28"/>
                  <w:shd w:val="clear" w:color="auto" w:fill="FFFFFF"/>
                </w:rPr>
              </w:rPrChange>
            </w:rPr>
            <w:delText>立足新时代新形势新目标，立足铸牢中华民族共同体意识、服务国计民生、坚定文化自信、构建人类命运共同体，</w:delText>
          </w:r>
        </w:del>
      </w:ins>
      <w:ins w:id="18" w:author="马卡龙小红妹" w:date="2021-09-12T15:11:00Z">
        <w:del w:id="19" w:author="文心雕龙" w:date="2021-09-22T16:30:00Z">
          <w:r>
            <w:rPr>
              <w:rFonts w:hint="eastAsia" w:ascii="宋体" w:hAnsi="宋体" w:eastAsia="宋体" w:cs="宋体"/>
              <w:color w:val="333333"/>
              <w:sz w:val="21"/>
              <w:szCs w:val="21"/>
              <w:shd w:val="clear" w:color="auto" w:fill="FFFFFF"/>
            </w:rPr>
            <w:delText>坚持全面加强党的领导贯穿全过程，发挥“党委领导、政府主导、语委统筹、部门支持、社会参与”的体制优势，</w:delText>
          </w:r>
        </w:del>
      </w:ins>
      <w:ins w:id="20" w:author="马卡龙小红妹" w:date="2021-09-12T15:05:00Z">
        <w:del w:id="21" w:author="文心雕龙" w:date="2021-09-22T16:30:00Z">
          <w:r>
            <w:rPr>
              <w:rFonts w:ascii="宋体" w:hAnsi="宋体" w:eastAsia="宋体" w:cs="宋体"/>
              <w:color w:val="000000"/>
              <w:sz w:val="21"/>
              <w:szCs w:val="21"/>
              <w:shd w:val="clear" w:color="auto" w:fill="FFFFFF"/>
              <w:rPrChange w:id="22" w:author="马卡龙小红妹" w:date="2021-09-12T15:06:00Z">
                <w:rPr>
                  <w:rFonts w:ascii="微软雅黑" w:hAnsi="微软雅黑" w:cs="微软雅黑"/>
                  <w:color w:val="000000"/>
                  <w:szCs w:val="28"/>
                  <w:shd w:val="clear" w:color="auto" w:fill="FFFFFF"/>
                </w:rPr>
              </w:rPrChange>
            </w:rPr>
            <w:delText>坚定不移推广普及国家通用语言文字。</w:delText>
          </w:r>
        </w:del>
      </w:ins>
      <w:ins w:id="23" w:author="马卡龙小红妹" w:date="2021-09-12T15:13:00Z">
        <w:del w:id="24" w:author="文心雕龙" w:date="2021-09-22T16:30:00Z">
          <w:r>
            <w:rPr>
              <w:rFonts w:ascii="宋体" w:hAnsi="宋体" w:eastAsia="宋体" w:cs="宋体"/>
              <w:color w:val="000000"/>
              <w:sz w:val="21"/>
              <w:szCs w:val="21"/>
              <w:shd w:val="clear" w:color="auto" w:fill="FFFFFF"/>
              <w:rPrChange w:id="25" w:author="马卡龙小红妹" w:date="2021-09-12T15:13:00Z">
                <w:rPr>
                  <w:rFonts w:ascii="微软雅黑" w:hAnsi="微软雅黑" w:cs="微软雅黑"/>
                  <w:color w:val="000000"/>
                  <w:szCs w:val="28"/>
                  <w:shd w:val="clear" w:color="auto" w:fill="FFFFFF"/>
                </w:rPr>
              </w:rPrChange>
            </w:rPr>
            <w:delText>提升教师国家通用语言文字核心素养和教学技能，提高学生的学习兴趣和学习质量，让每一个完成义务教育的学生都能基本掌握国家通用语言文字。促进国家通用语言文字教育与学校德育、智育、美育有机融合，在学习使用国家通用语言文字中打好青少年的人生底色。</w:delText>
          </w:r>
        </w:del>
      </w:ins>
    </w:p>
    <w:p>
      <w:pPr>
        <w:spacing w:after="60" w:line="360" w:lineRule="auto"/>
        <w:ind w:firstLine="440" w:firstLineChars="200"/>
        <w:rPr>
          <w:rFonts w:ascii="仿宋" w:hAnsi="仿宋" w:eastAsia="仿宋" w:cs="仿宋"/>
          <w:szCs w:val="28"/>
        </w:rPr>
        <w:pPrChange w:id="26" w:author="文心雕龙" w:date="2021-09-22T16:30:00Z">
          <w:pPr>
            <w:pStyle w:val="2"/>
          </w:pPr>
        </w:pPrChange>
      </w:pPr>
    </w:p>
    <w:p>
      <w:pPr>
        <w:pStyle w:val="2"/>
        <w:rPr>
          <w:rFonts w:ascii="仿宋" w:hAnsi="仿宋" w:eastAsia="仿宋" w:cs="仿宋"/>
          <w:szCs w:val="28"/>
        </w:rPr>
      </w:pPr>
    </w:p>
    <w:p>
      <w:pPr>
        <w:pStyle w:val="2"/>
        <w:rPr>
          <w:rFonts w:ascii="仿宋" w:hAnsi="仿宋" w:eastAsia="仿宋" w:cs="仿宋"/>
          <w:szCs w:val="28"/>
        </w:rPr>
      </w:pPr>
    </w:p>
    <w:p>
      <w:pPr>
        <w:pStyle w:val="2"/>
        <w:rPr>
          <w:rFonts w:ascii="仿宋" w:hAnsi="仿宋" w:eastAsia="仿宋" w:cs="仿宋"/>
          <w:szCs w:val="28"/>
        </w:rPr>
      </w:pPr>
    </w:p>
    <w:p>
      <w:pPr>
        <w:pStyle w:val="2"/>
        <w:rPr>
          <w:rFonts w:ascii="仿宋" w:hAnsi="仿宋" w:eastAsia="仿宋" w:cs="仿宋"/>
          <w:szCs w:val="28"/>
        </w:rPr>
        <w:sectPr>
          <w:pgSz w:w="11906" w:h="16838"/>
          <w:pgMar w:top="1440" w:right="1800" w:bottom="1440" w:left="1800" w:header="851" w:footer="992" w:gutter="0"/>
          <w:pgNumType w:start="1"/>
          <w:cols w:space="425" w:num="1"/>
          <w:docGrid w:type="lines" w:linePitch="312" w:charSpace="0"/>
        </w:sectPr>
      </w:pPr>
    </w:p>
    <w:p>
      <w:pPr>
        <w:pStyle w:val="4"/>
        <w:widowControl w:val="0"/>
        <w:spacing w:before="240" w:after="60" w:line="360" w:lineRule="auto"/>
        <w:jc w:val="both"/>
        <w:rPr>
          <w:rFonts w:ascii="仿宋" w:hAnsi="仿宋" w:eastAsia="仿宋" w:cs="仿宋"/>
          <w:sz w:val="36"/>
          <w:szCs w:val="20"/>
        </w:rPr>
      </w:pPr>
      <w:bookmarkStart w:id="71" w:name="_Toc8184"/>
      <w:r>
        <w:rPr>
          <w:rFonts w:hint="eastAsia" w:ascii="仿宋" w:hAnsi="仿宋" w:eastAsia="仿宋" w:cs="仿宋"/>
          <w:sz w:val="36"/>
          <w:szCs w:val="20"/>
        </w:rPr>
        <w:t>附件1：        鹿城区教育局教育事业发展“十四五”规划项目概况</w:t>
      </w:r>
      <w:bookmarkEnd w:id="71"/>
    </w:p>
    <w:tbl>
      <w:tblPr>
        <w:tblStyle w:val="15"/>
        <w:tblpPr w:leftFromText="180" w:rightFromText="180" w:vertAnchor="text" w:horzAnchor="page" w:tblpX="1451" w:tblpY="690"/>
        <w:tblOverlap w:val="never"/>
        <w:tblW w:w="13906" w:type="dxa"/>
        <w:tblInd w:w="0" w:type="dxa"/>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autofit"/>
        <w:tblCellMar>
          <w:top w:w="0" w:type="dxa"/>
          <w:left w:w="108" w:type="dxa"/>
          <w:bottom w:w="0" w:type="dxa"/>
          <w:right w:w="108" w:type="dxa"/>
        </w:tblCellMar>
      </w:tblPr>
      <w:tblGrid>
        <w:gridCol w:w="2391"/>
        <w:gridCol w:w="2296"/>
        <w:gridCol w:w="2329"/>
        <w:gridCol w:w="2250"/>
        <w:gridCol w:w="2515"/>
        <w:gridCol w:w="2125"/>
      </w:tblGrid>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560" w:hRule="atLeast"/>
        </w:trPr>
        <w:tc>
          <w:tcPr>
            <w:tcW w:w="2391" w:type="dxa"/>
            <w:tcBorders>
              <w:bottom w:val="single" w:color="000000" w:sz="4" w:space="0"/>
              <w:right w:val="single" w:color="000000" w:sz="4" w:space="0"/>
            </w:tcBorders>
            <w:shd w:val="clear" w:color="auto" w:fill="auto"/>
            <w:vAlign w:val="center"/>
          </w:tcPr>
          <w:p>
            <w:pPr>
              <w:jc w:val="center"/>
              <w:textAlignment w:val="center"/>
              <w:rPr>
                <w:rFonts w:ascii="黑体" w:hAnsi="宋体" w:eastAsia="黑体" w:cs="黑体"/>
                <w:b/>
                <w:bCs/>
                <w:color w:val="000000"/>
                <w:sz w:val="28"/>
                <w:szCs w:val="28"/>
              </w:rPr>
            </w:pPr>
            <w:r>
              <w:rPr>
                <w:rFonts w:hint="eastAsia" w:ascii="黑体" w:hAnsi="宋体" w:eastAsia="黑体" w:cs="黑体"/>
                <w:b/>
                <w:bCs/>
                <w:color w:val="000000"/>
                <w:sz w:val="28"/>
                <w:szCs w:val="28"/>
              </w:rPr>
              <w:t>类别</w:t>
            </w:r>
          </w:p>
        </w:tc>
        <w:tc>
          <w:tcPr>
            <w:tcW w:w="2296" w:type="dxa"/>
            <w:tcBorders>
              <w:left w:val="single" w:color="000000" w:sz="4" w:space="0"/>
              <w:bottom w:val="single" w:color="000000" w:sz="4" w:space="0"/>
              <w:right w:val="single" w:color="000000" w:sz="4" w:space="0"/>
            </w:tcBorders>
            <w:shd w:val="clear" w:color="auto" w:fill="auto"/>
            <w:vAlign w:val="center"/>
          </w:tcPr>
          <w:p>
            <w:pPr>
              <w:jc w:val="center"/>
              <w:textAlignment w:val="center"/>
              <w:rPr>
                <w:rFonts w:ascii="黑体" w:hAnsi="宋体" w:eastAsia="黑体" w:cs="黑体"/>
                <w:b/>
                <w:bCs/>
                <w:color w:val="000000"/>
                <w:sz w:val="28"/>
                <w:szCs w:val="28"/>
              </w:rPr>
            </w:pPr>
            <w:r>
              <w:rPr>
                <w:rFonts w:hint="eastAsia" w:ascii="黑体" w:hAnsi="宋体" w:eastAsia="黑体" w:cs="黑体"/>
                <w:b/>
                <w:bCs/>
                <w:color w:val="000000"/>
                <w:sz w:val="28"/>
                <w:szCs w:val="28"/>
              </w:rPr>
              <w:t>续建项目数量（个）</w:t>
            </w:r>
          </w:p>
        </w:tc>
        <w:tc>
          <w:tcPr>
            <w:tcW w:w="2329" w:type="dxa"/>
            <w:tcBorders>
              <w:left w:val="single" w:color="000000" w:sz="4" w:space="0"/>
              <w:bottom w:val="single" w:color="000000" w:sz="4" w:space="0"/>
              <w:right w:val="single" w:color="000000" w:sz="4" w:space="0"/>
            </w:tcBorders>
            <w:shd w:val="clear" w:color="auto" w:fill="auto"/>
            <w:vAlign w:val="center"/>
          </w:tcPr>
          <w:p>
            <w:pPr>
              <w:jc w:val="center"/>
              <w:textAlignment w:val="center"/>
              <w:rPr>
                <w:rFonts w:ascii="黑体" w:hAnsi="宋体" w:eastAsia="黑体" w:cs="黑体"/>
                <w:b/>
                <w:bCs/>
                <w:color w:val="000000"/>
                <w:sz w:val="28"/>
                <w:szCs w:val="28"/>
              </w:rPr>
            </w:pPr>
            <w:r>
              <w:rPr>
                <w:rFonts w:hint="eastAsia" w:ascii="黑体" w:hAnsi="宋体" w:eastAsia="黑体" w:cs="黑体"/>
                <w:b/>
                <w:bCs/>
                <w:color w:val="000000"/>
                <w:sz w:val="28"/>
                <w:szCs w:val="28"/>
              </w:rPr>
              <w:t>新建项目数量（个）</w:t>
            </w:r>
          </w:p>
        </w:tc>
        <w:tc>
          <w:tcPr>
            <w:tcW w:w="2250" w:type="dxa"/>
            <w:tcBorders>
              <w:left w:val="single" w:color="000000" w:sz="4" w:space="0"/>
              <w:bottom w:val="single" w:color="000000" w:sz="4" w:space="0"/>
              <w:right w:val="single" w:color="000000" w:sz="4" w:space="0"/>
            </w:tcBorders>
            <w:shd w:val="clear" w:color="auto" w:fill="auto"/>
            <w:vAlign w:val="center"/>
          </w:tcPr>
          <w:p>
            <w:pPr>
              <w:jc w:val="center"/>
              <w:textAlignment w:val="center"/>
              <w:rPr>
                <w:rFonts w:ascii="黑体" w:hAnsi="宋体" w:eastAsia="黑体" w:cs="黑体"/>
                <w:b/>
                <w:bCs/>
                <w:color w:val="000000"/>
                <w:sz w:val="28"/>
                <w:szCs w:val="28"/>
              </w:rPr>
            </w:pPr>
            <w:r>
              <w:rPr>
                <w:rFonts w:hint="eastAsia" w:ascii="黑体" w:hAnsi="宋体" w:eastAsia="黑体" w:cs="黑体"/>
                <w:b/>
                <w:bCs/>
                <w:color w:val="000000"/>
                <w:sz w:val="28"/>
                <w:szCs w:val="28"/>
              </w:rPr>
              <w:t>总投资</w:t>
            </w:r>
          </w:p>
          <w:p>
            <w:pPr>
              <w:jc w:val="center"/>
              <w:textAlignment w:val="center"/>
              <w:rPr>
                <w:rFonts w:ascii="黑体" w:hAnsi="宋体" w:eastAsia="黑体" w:cs="黑体"/>
                <w:b/>
                <w:bCs/>
                <w:color w:val="000000"/>
                <w:sz w:val="28"/>
                <w:szCs w:val="28"/>
              </w:rPr>
            </w:pPr>
            <w:r>
              <w:rPr>
                <w:rFonts w:hint="eastAsia" w:ascii="黑体" w:hAnsi="宋体" w:eastAsia="黑体" w:cs="黑体"/>
                <w:b/>
                <w:bCs/>
                <w:color w:val="000000"/>
                <w:sz w:val="28"/>
                <w:szCs w:val="28"/>
              </w:rPr>
              <w:t>（亿元）</w:t>
            </w:r>
          </w:p>
        </w:tc>
        <w:tc>
          <w:tcPr>
            <w:tcW w:w="2515" w:type="dxa"/>
            <w:tcBorders>
              <w:left w:val="single" w:color="000000" w:sz="4" w:space="0"/>
              <w:bottom w:val="single" w:color="000000" w:sz="4" w:space="0"/>
              <w:right w:val="single" w:color="000000" w:sz="4" w:space="0"/>
            </w:tcBorders>
            <w:shd w:val="clear" w:color="auto" w:fill="auto"/>
            <w:vAlign w:val="center"/>
          </w:tcPr>
          <w:p>
            <w:pPr>
              <w:jc w:val="center"/>
              <w:textAlignment w:val="center"/>
              <w:rPr>
                <w:rFonts w:ascii="黑体" w:hAnsi="宋体" w:eastAsia="黑体" w:cs="黑体"/>
                <w:b/>
                <w:bCs/>
                <w:color w:val="000000"/>
                <w:sz w:val="28"/>
                <w:szCs w:val="28"/>
              </w:rPr>
            </w:pPr>
            <w:r>
              <w:rPr>
                <w:rFonts w:hint="eastAsia" w:ascii="黑体" w:hAnsi="宋体" w:eastAsia="黑体" w:cs="黑体"/>
                <w:b/>
                <w:bCs/>
                <w:color w:val="000000"/>
                <w:sz w:val="28"/>
                <w:szCs w:val="28"/>
              </w:rPr>
              <w:t>“十四五”投资</w:t>
            </w:r>
          </w:p>
          <w:p>
            <w:pPr>
              <w:jc w:val="center"/>
              <w:textAlignment w:val="center"/>
              <w:rPr>
                <w:rFonts w:ascii="黑体" w:hAnsi="宋体" w:eastAsia="黑体" w:cs="黑体"/>
                <w:b/>
                <w:bCs/>
                <w:color w:val="000000"/>
                <w:sz w:val="28"/>
                <w:szCs w:val="28"/>
              </w:rPr>
            </w:pPr>
            <w:r>
              <w:rPr>
                <w:rFonts w:hint="eastAsia" w:ascii="黑体" w:hAnsi="宋体" w:eastAsia="黑体" w:cs="黑体"/>
                <w:b/>
                <w:bCs/>
                <w:color w:val="000000"/>
                <w:sz w:val="28"/>
                <w:szCs w:val="28"/>
              </w:rPr>
              <w:t>（亿元）</w:t>
            </w:r>
          </w:p>
        </w:tc>
        <w:tc>
          <w:tcPr>
            <w:tcW w:w="2125" w:type="dxa"/>
            <w:tcBorders>
              <w:left w:val="single" w:color="000000" w:sz="4" w:space="0"/>
              <w:bottom w:val="single" w:color="000000" w:sz="4" w:space="0"/>
            </w:tcBorders>
            <w:shd w:val="clear" w:color="auto" w:fill="auto"/>
            <w:vAlign w:val="center"/>
          </w:tcPr>
          <w:p>
            <w:pPr>
              <w:jc w:val="center"/>
              <w:textAlignment w:val="center"/>
              <w:rPr>
                <w:rFonts w:ascii="黑体" w:hAnsi="宋体" w:eastAsia="黑体" w:cs="黑体"/>
                <w:b/>
                <w:bCs/>
                <w:color w:val="000000"/>
                <w:sz w:val="28"/>
                <w:szCs w:val="28"/>
              </w:rPr>
            </w:pPr>
            <w:r>
              <w:rPr>
                <w:rFonts w:hint="eastAsia" w:ascii="黑体" w:hAnsi="宋体" w:eastAsia="黑体" w:cs="黑体"/>
                <w:b/>
                <w:bCs/>
                <w:color w:val="000000"/>
                <w:sz w:val="28"/>
                <w:szCs w:val="28"/>
              </w:rPr>
              <w:t>新增学位数（个）</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310" w:hRule="atLeast"/>
        </w:trPr>
        <w:tc>
          <w:tcPr>
            <w:tcW w:w="2391" w:type="dxa"/>
            <w:tcBorders>
              <w:top w:val="single" w:color="000000" w:sz="4" w:space="0"/>
              <w:bottom w:val="single" w:color="000000" w:sz="4" w:space="0"/>
              <w:right w:val="single" w:color="000000" w:sz="4" w:space="0"/>
            </w:tcBorders>
            <w:shd w:val="clear" w:color="auto" w:fill="auto"/>
            <w:vAlign w:val="center"/>
          </w:tcPr>
          <w:p>
            <w:pPr>
              <w:jc w:val="center"/>
              <w:textAlignment w:val="center"/>
              <w:rPr>
                <w:rFonts w:ascii="黑体" w:hAnsi="宋体" w:eastAsia="黑体" w:cs="黑体"/>
                <w:b/>
                <w:bCs/>
                <w:color w:val="000000"/>
                <w:sz w:val="28"/>
                <w:szCs w:val="28"/>
              </w:rPr>
            </w:pPr>
            <w:r>
              <w:rPr>
                <w:rFonts w:hint="eastAsia" w:ascii="黑体" w:hAnsi="宋体" w:eastAsia="黑体" w:cs="黑体"/>
                <w:b/>
                <w:bCs/>
                <w:color w:val="000000"/>
                <w:sz w:val="28"/>
                <w:szCs w:val="28"/>
              </w:rPr>
              <w:t>学前教育</w:t>
            </w:r>
          </w:p>
        </w:tc>
        <w:tc>
          <w:tcPr>
            <w:tcW w:w="22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黑体" w:hAnsi="宋体" w:eastAsia="黑体" w:cs="黑体"/>
                <w:color w:val="000000"/>
                <w:sz w:val="24"/>
                <w:szCs w:val="24"/>
              </w:rPr>
            </w:pPr>
            <w:r>
              <w:rPr>
                <w:rFonts w:hint="eastAsia" w:ascii="黑体" w:hAnsi="宋体" w:eastAsia="黑体" w:cs="黑体"/>
                <w:color w:val="000000"/>
                <w:sz w:val="24"/>
                <w:szCs w:val="24"/>
              </w:rPr>
              <w:t>25</w:t>
            </w:r>
          </w:p>
        </w:tc>
        <w:tc>
          <w:tcPr>
            <w:tcW w:w="23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黑体" w:hAnsi="宋体" w:eastAsia="黑体" w:cs="黑体"/>
                <w:color w:val="000000"/>
                <w:sz w:val="24"/>
                <w:szCs w:val="24"/>
              </w:rPr>
            </w:pPr>
            <w:r>
              <w:rPr>
                <w:rFonts w:hint="eastAsia" w:ascii="黑体" w:hAnsi="宋体" w:eastAsia="黑体" w:cs="黑体"/>
                <w:color w:val="000000"/>
                <w:sz w:val="24"/>
                <w:szCs w:val="24"/>
              </w:rPr>
              <w:t>26</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黑体" w:hAnsi="宋体" w:eastAsia="黑体" w:cs="黑体"/>
                <w:color w:val="000000"/>
                <w:sz w:val="24"/>
                <w:szCs w:val="24"/>
              </w:rPr>
            </w:pPr>
            <w:r>
              <w:rPr>
                <w:rFonts w:hint="eastAsia" w:ascii="黑体" w:hAnsi="宋体" w:eastAsia="黑体" w:cs="黑体"/>
                <w:color w:val="000000"/>
                <w:sz w:val="24"/>
                <w:szCs w:val="24"/>
              </w:rPr>
              <w:t>16.29</w:t>
            </w:r>
          </w:p>
        </w:tc>
        <w:tc>
          <w:tcPr>
            <w:tcW w:w="2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黑体" w:hAnsi="宋体" w:eastAsia="黑体" w:cs="黑体"/>
                <w:color w:val="000000"/>
                <w:sz w:val="24"/>
                <w:szCs w:val="24"/>
              </w:rPr>
            </w:pPr>
            <w:r>
              <w:rPr>
                <w:rFonts w:hint="eastAsia" w:ascii="黑体" w:hAnsi="宋体" w:eastAsia="黑体" w:cs="黑体"/>
                <w:color w:val="000000"/>
                <w:sz w:val="24"/>
                <w:szCs w:val="24"/>
              </w:rPr>
              <w:t>13.76</w:t>
            </w:r>
          </w:p>
        </w:tc>
        <w:tc>
          <w:tcPr>
            <w:tcW w:w="2125" w:type="dxa"/>
            <w:tcBorders>
              <w:top w:val="single" w:color="000000" w:sz="4" w:space="0"/>
              <w:left w:val="single" w:color="000000" w:sz="4" w:space="0"/>
              <w:bottom w:val="single" w:color="000000" w:sz="4" w:space="0"/>
            </w:tcBorders>
            <w:shd w:val="clear" w:color="auto" w:fill="auto"/>
            <w:vAlign w:val="center"/>
          </w:tcPr>
          <w:p>
            <w:pPr>
              <w:jc w:val="center"/>
              <w:textAlignment w:val="center"/>
              <w:rPr>
                <w:rFonts w:ascii="黑体" w:hAnsi="宋体" w:eastAsia="黑体" w:cs="黑体"/>
                <w:color w:val="000000"/>
                <w:sz w:val="24"/>
                <w:szCs w:val="24"/>
              </w:rPr>
            </w:pPr>
            <w:r>
              <w:rPr>
                <w:rFonts w:hint="eastAsia" w:ascii="黑体" w:hAnsi="宋体" w:eastAsia="黑体" w:cs="黑体"/>
                <w:color w:val="000000"/>
                <w:sz w:val="24"/>
                <w:szCs w:val="24"/>
              </w:rPr>
              <w:t>16650</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310" w:hRule="atLeast"/>
        </w:trPr>
        <w:tc>
          <w:tcPr>
            <w:tcW w:w="2391" w:type="dxa"/>
            <w:tcBorders>
              <w:top w:val="single" w:color="000000" w:sz="4" w:space="0"/>
              <w:bottom w:val="single" w:color="000000" w:sz="4" w:space="0"/>
              <w:right w:val="single" w:color="000000" w:sz="4" w:space="0"/>
            </w:tcBorders>
            <w:shd w:val="clear" w:color="auto" w:fill="auto"/>
            <w:vAlign w:val="center"/>
          </w:tcPr>
          <w:p>
            <w:pPr>
              <w:jc w:val="center"/>
              <w:textAlignment w:val="center"/>
              <w:rPr>
                <w:rFonts w:ascii="黑体" w:hAnsi="宋体" w:eastAsia="黑体" w:cs="黑体"/>
                <w:b/>
                <w:bCs/>
                <w:color w:val="000000"/>
                <w:sz w:val="28"/>
                <w:szCs w:val="28"/>
              </w:rPr>
            </w:pPr>
            <w:r>
              <w:rPr>
                <w:rFonts w:hint="eastAsia" w:ascii="黑体" w:hAnsi="宋体" w:eastAsia="黑体" w:cs="黑体"/>
                <w:b/>
                <w:bCs/>
                <w:color w:val="000000"/>
                <w:sz w:val="28"/>
                <w:szCs w:val="28"/>
              </w:rPr>
              <w:t>义务教育</w:t>
            </w:r>
          </w:p>
        </w:tc>
        <w:tc>
          <w:tcPr>
            <w:tcW w:w="22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黑体" w:hAnsi="宋体" w:eastAsia="黑体" w:cs="黑体"/>
                <w:color w:val="000000"/>
                <w:sz w:val="24"/>
                <w:szCs w:val="24"/>
              </w:rPr>
            </w:pPr>
            <w:r>
              <w:rPr>
                <w:rFonts w:hint="eastAsia" w:ascii="黑体" w:hAnsi="宋体" w:eastAsia="黑体" w:cs="黑体"/>
                <w:color w:val="000000"/>
                <w:sz w:val="24"/>
                <w:szCs w:val="24"/>
              </w:rPr>
              <w:t>12</w:t>
            </w:r>
          </w:p>
        </w:tc>
        <w:tc>
          <w:tcPr>
            <w:tcW w:w="23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黑体" w:hAnsi="宋体" w:eastAsia="黑体" w:cs="黑体"/>
                <w:color w:val="000000"/>
                <w:sz w:val="24"/>
                <w:szCs w:val="24"/>
              </w:rPr>
            </w:pPr>
            <w:r>
              <w:rPr>
                <w:rFonts w:hint="eastAsia" w:ascii="黑体" w:hAnsi="宋体" w:eastAsia="黑体" w:cs="黑体"/>
                <w:color w:val="000000"/>
                <w:sz w:val="24"/>
                <w:szCs w:val="24"/>
              </w:rPr>
              <w:t>22</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黑体" w:hAnsi="宋体" w:eastAsia="黑体" w:cs="黑体"/>
                <w:color w:val="000000"/>
                <w:sz w:val="24"/>
                <w:szCs w:val="24"/>
              </w:rPr>
            </w:pPr>
            <w:r>
              <w:rPr>
                <w:rFonts w:hint="eastAsia" w:ascii="黑体" w:hAnsi="宋体" w:eastAsia="黑体" w:cs="黑体"/>
                <w:color w:val="000000"/>
                <w:sz w:val="24"/>
                <w:szCs w:val="24"/>
              </w:rPr>
              <w:t>89.665</w:t>
            </w:r>
          </w:p>
        </w:tc>
        <w:tc>
          <w:tcPr>
            <w:tcW w:w="2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黑体" w:hAnsi="宋体" w:eastAsia="黑体" w:cs="黑体"/>
                <w:color w:val="000000"/>
                <w:sz w:val="24"/>
                <w:szCs w:val="24"/>
              </w:rPr>
            </w:pPr>
            <w:r>
              <w:rPr>
                <w:rFonts w:hint="eastAsia" w:ascii="黑体" w:hAnsi="宋体" w:eastAsia="黑体" w:cs="黑体"/>
                <w:color w:val="000000"/>
                <w:sz w:val="24"/>
                <w:szCs w:val="24"/>
              </w:rPr>
              <w:t>70.64</w:t>
            </w:r>
          </w:p>
        </w:tc>
        <w:tc>
          <w:tcPr>
            <w:tcW w:w="2125" w:type="dxa"/>
            <w:tcBorders>
              <w:top w:val="single" w:color="000000" w:sz="4" w:space="0"/>
              <w:left w:val="single" w:color="000000" w:sz="4" w:space="0"/>
              <w:bottom w:val="single" w:color="000000" w:sz="4" w:space="0"/>
            </w:tcBorders>
            <w:shd w:val="clear" w:color="auto" w:fill="auto"/>
            <w:vAlign w:val="center"/>
          </w:tcPr>
          <w:p>
            <w:pPr>
              <w:jc w:val="center"/>
              <w:textAlignment w:val="center"/>
              <w:rPr>
                <w:rFonts w:ascii="黑体" w:hAnsi="宋体" w:eastAsia="黑体" w:cs="黑体"/>
                <w:color w:val="000000"/>
                <w:sz w:val="24"/>
                <w:szCs w:val="24"/>
              </w:rPr>
            </w:pPr>
            <w:r>
              <w:rPr>
                <w:rFonts w:hint="eastAsia" w:ascii="黑体" w:hAnsi="宋体" w:eastAsia="黑体" w:cs="黑体"/>
                <w:color w:val="000000"/>
                <w:sz w:val="24"/>
                <w:szCs w:val="24"/>
              </w:rPr>
              <w:t>36235</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310" w:hRule="atLeast"/>
        </w:trPr>
        <w:tc>
          <w:tcPr>
            <w:tcW w:w="2391" w:type="dxa"/>
            <w:tcBorders>
              <w:top w:val="single" w:color="000000" w:sz="4" w:space="0"/>
              <w:bottom w:val="single" w:color="000000" w:sz="4" w:space="0"/>
              <w:right w:val="single" w:color="000000" w:sz="4" w:space="0"/>
            </w:tcBorders>
            <w:shd w:val="clear" w:color="auto" w:fill="auto"/>
            <w:vAlign w:val="center"/>
          </w:tcPr>
          <w:p>
            <w:pPr>
              <w:jc w:val="center"/>
              <w:textAlignment w:val="center"/>
              <w:rPr>
                <w:rFonts w:ascii="黑体" w:hAnsi="宋体" w:eastAsia="黑体" w:cs="黑体"/>
                <w:b/>
                <w:bCs/>
                <w:color w:val="000000"/>
                <w:sz w:val="28"/>
                <w:szCs w:val="28"/>
              </w:rPr>
            </w:pPr>
            <w:r>
              <w:rPr>
                <w:rFonts w:hint="eastAsia" w:ascii="黑体" w:hAnsi="宋体" w:eastAsia="黑体" w:cs="黑体"/>
                <w:b/>
                <w:bCs/>
                <w:color w:val="000000"/>
                <w:sz w:val="28"/>
                <w:szCs w:val="28"/>
              </w:rPr>
              <w:t>国际教育中心</w:t>
            </w:r>
          </w:p>
        </w:tc>
        <w:tc>
          <w:tcPr>
            <w:tcW w:w="22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黑体" w:hAnsi="宋体" w:eastAsia="黑体" w:cs="黑体"/>
                <w:color w:val="000000"/>
                <w:sz w:val="24"/>
                <w:szCs w:val="24"/>
              </w:rPr>
            </w:pPr>
            <w:r>
              <w:rPr>
                <w:rFonts w:hint="eastAsia" w:ascii="黑体" w:hAnsi="宋体" w:eastAsia="黑体" w:cs="黑体"/>
                <w:color w:val="000000"/>
                <w:sz w:val="24"/>
                <w:szCs w:val="24"/>
              </w:rPr>
              <w:t>/</w:t>
            </w:r>
          </w:p>
        </w:tc>
        <w:tc>
          <w:tcPr>
            <w:tcW w:w="23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黑体" w:hAnsi="宋体" w:eastAsia="黑体" w:cs="黑体"/>
                <w:color w:val="000000"/>
                <w:sz w:val="24"/>
                <w:szCs w:val="24"/>
              </w:rPr>
            </w:pPr>
            <w:r>
              <w:rPr>
                <w:rFonts w:hint="eastAsia" w:ascii="黑体" w:hAnsi="宋体" w:eastAsia="黑体" w:cs="黑体"/>
                <w:color w:val="000000"/>
                <w:sz w:val="24"/>
                <w:szCs w:val="24"/>
              </w:rPr>
              <w:t>1</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黑体" w:hAnsi="宋体" w:eastAsia="黑体" w:cs="黑体"/>
                <w:color w:val="000000"/>
                <w:sz w:val="24"/>
                <w:szCs w:val="24"/>
              </w:rPr>
            </w:pPr>
            <w:r>
              <w:rPr>
                <w:rFonts w:hint="eastAsia" w:ascii="黑体" w:hAnsi="宋体" w:eastAsia="黑体" w:cs="黑体"/>
                <w:color w:val="000000"/>
                <w:sz w:val="24"/>
                <w:szCs w:val="24"/>
              </w:rPr>
              <w:t>9</w:t>
            </w:r>
          </w:p>
        </w:tc>
        <w:tc>
          <w:tcPr>
            <w:tcW w:w="2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黑体" w:hAnsi="宋体" w:eastAsia="黑体" w:cs="黑体"/>
                <w:color w:val="000000"/>
                <w:sz w:val="24"/>
                <w:szCs w:val="24"/>
              </w:rPr>
            </w:pPr>
            <w:r>
              <w:rPr>
                <w:rFonts w:hint="eastAsia" w:ascii="黑体" w:hAnsi="宋体" w:eastAsia="黑体" w:cs="黑体"/>
                <w:color w:val="000000"/>
                <w:sz w:val="24"/>
                <w:szCs w:val="24"/>
              </w:rPr>
              <w:t>1</w:t>
            </w:r>
          </w:p>
        </w:tc>
        <w:tc>
          <w:tcPr>
            <w:tcW w:w="2125" w:type="dxa"/>
            <w:tcBorders>
              <w:top w:val="single" w:color="000000" w:sz="4" w:space="0"/>
              <w:left w:val="single" w:color="000000" w:sz="4" w:space="0"/>
              <w:bottom w:val="single" w:color="000000" w:sz="4" w:space="0"/>
            </w:tcBorders>
            <w:shd w:val="clear" w:color="auto" w:fill="auto"/>
            <w:vAlign w:val="center"/>
          </w:tcPr>
          <w:p>
            <w:pPr>
              <w:jc w:val="center"/>
              <w:textAlignment w:val="center"/>
              <w:rPr>
                <w:rFonts w:ascii="黑体" w:hAnsi="宋体" w:eastAsia="黑体" w:cs="黑体"/>
                <w:color w:val="000000"/>
                <w:sz w:val="24"/>
                <w:szCs w:val="24"/>
              </w:rPr>
            </w:pPr>
            <w:r>
              <w:rPr>
                <w:rFonts w:hint="eastAsia" w:ascii="黑体" w:hAnsi="宋体" w:eastAsia="黑体" w:cs="黑体"/>
                <w:color w:val="000000"/>
                <w:sz w:val="24"/>
                <w:szCs w:val="24"/>
              </w:rPr>
              <w:t>2070</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310" w:hRule="atLeast"/>
        </w:trPr>
        <w:tc>
          <w:tcPr>
            <w:tcW w:w="2391" w:type="dxa"/>
            <w:tcBorders>
              <w:top w:val="single" w:color="000000" w:sz="4" w:space="0"/>
              <w:bottom w:val="single" w:color="000000" w:sz="4" w:space="0"/>
              <w:right w:val="single" w:color="000000" w:sz="4" w:space="0"/>
            </w:tcBorders>
            <w:shd w:val="clear" w:color="auto" w:fill="auto"/>
            <w:vAlign w:val="center"/>
          </w:tcPr>
          <w:p>
            <w:pPr>
              <w:jc w:val="center"/>
              <w:textAlignment w:val="center"/>
              <w:rPr>
                <w:rFonts w:ascii="黑体" w:hAnsi="宋体" w:eastAsia="黑体" w:cs="黑体"/>
                <w:b/>
                <w:bCs/>
                <w:color w:val="000000"/>
                <w:sz w:val="28"/>
                <w:szCs w:val="28"/>
              </w:rPr>
            </w:pPr>
            <w:r>
              <w:rPr>
                <w:rFonts w:hint="eastAsia" w:ascii="黑体" w:hAnsi="宋体" w:eastAsia="黑体" w:cs="黑体"/>
                <w:b/>
                <w:bCs/>
                <w:color w:val="000000"/>
                <w:sz w:val="28"/>
                <w:szCs w:val="28"/>
              </w:rPr>
              <w:t>职业教育</w:t>
            </w:r>
          </w:p>
        </w:tc>
        <w:tc>
          <w:tcPr>
            <w:tcW w:w="22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黑体" w:hAnsi="宋体" w:eastAsia="黑体" w:cs="黑体"/>
                <w:color w:val="000000"/>
                <w:sz w:val="24"/>
                <w:szCs w:val="24"/>
              </w:rPr>
            </w:pPr>
            <w:r>
              <w:rPr>
                <w:rFonts w:hint="eastAsia" w:ascii="黑体" w:hAnsi="宋体" w:eastAsia="黑体" w:cs="黑体"/>
                <w:color w:val="000000"/>
                <w:sz w:val="24"/>
                <w:szCs w:val="24"/>
              </w:rPr>
              <w:t>1</w:t>
            </w:r>
          </w:p>
        </w:tc>
        <w:tc>
          <w:tcPr>
            <w:tcW w:w="23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黑体" w:hAnsi="宋体" w:eastAsia="黑体" w:cs="黑体"/>
                <w:color w:val="000000"/>
                <w:sz w:val="24"/>
                <w:szCs w:val="24"/>
              </w:rPr>
            </w:pPr>
            <w:r>
              <w:rPr>
                <w:rFonts w:hint="eastAsia" w:ascii="黑体" w:hAnsi="宋体" w:eastAsia="黑体" w:cs="黑体"/>
                <w:color w:val="000000"/>
                <w:sz w:val="24"/>
                <w:szCs w:val="24"/>
              </w:rPr>
              <w:t>/</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黑体" w:hAnsi="宋体" w:eastAsia="黑体" w:cs="黑体"/>
                <w:color w:val="000000"/>
                <w:sz w:val="24"/>
                <w:szCs w:val="24"/>
              </w:rPr>
            </w:pPr>
            <w:r>
              <w:rPr>
                <w:rFonts w:hint="eastAsia" w:ascii="黑体" w:hAnsi="宋体" w:eastAsia="黑体" w:cs="黑体"/>
                <w:color w:val="000000"/>
                <w:sz w:val="24"/>
                <w:szCs w:val="24"/>
              </w:rPr>
              <w:t>1.76</w:t>
            </w:r>
          </w:p>
        </w:tc>
        <w:tc>
          <w:tcPr>
            <w:tcW w:w="2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黑体" w:hAnsi="宋体" w:eastAsia="黑体" w:cs="黑体"/>
                <w:color w:val="000000"/>
                <w:sz w:val="24"/>
                <w:szCs w:val="24"/>
              </w:rPr>
            </w:pPr>
            <w:r>
              <w:rPr>
                <w:rFonts w:hint="eastAsia" w:ascii="黑体" w:hAnsi="宋体" w:eastAsia="黑体" w:cs="黑体"/>
                <w:color w:val="000000"/>
                <w:sz w:val="24"/>
                <w:szCs w:val="24"/>
              </w:rPr>
              <w:t>1.7</w:t>
            </w:r>
          </w:p>
        </w:tc>
        <w:tc>
          <w:tcPr>
            <w:tcW w:w="2125" w:type="dxa"/>
            <w:tcBorders>
              <w:top w:val="single" w:color="000000" w:sz="4" w:space="0"/>
              <w:left w:val="single" w:color="000000" w:sz="4" w:space="0"/>
              <w:bottom w:val="single" w:color="000000" w:sz="4" w:space="0"/>
            </w:tcBorders>
            <w:shd w:val="clear" w:color="auto" w:fill="auto"/>
            <w:vAlign w:val="center"/>
          </w:tcPr>
          <w:p>
            <w:pPr>
              <w:jc w:val="center"/>
              <w:textAlignment w:val="center"/>
              <w:rPr>
                <w:rFonts w:ascii="黑体" w:hAnsi="宋体" w:eastAsia="黑体" w:cs="黑体"/>
                <w:color w:val="000000"/>
                <w:sz w:val="24"/>
                <w:szCs w:val="24"/>
              </w:rPr>
            </w:pPr>
            <w:r>
              <w:rPr>
                <w:rFonts w:hint="eastAsia" w:ascii="黑体" w:hAnsi="宋体" w:eastAsia="黑体" w:cs="黑体"/>
                <w:color w:val="000000"/>
                <w:sz w:val="24"/>
                <w:szCs w:val="24"/>
              </w:rPr>
              <w:t>1000</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315" w:hRule="atLeast"/>
        </w:trPr>
        <w:tc>
          <w:tcPr>
            <w:tcW w:w="2391" w:type="dxa"/>
            <w:tcBorders>
              <w:top w:val="single" w:color="000000" w:sz="4" w:space="0"/>
              <w:right w:val="single" w:color="000000" w:sz="4" w:space="0"/>
            </w:tcBorders>
            <w:shd w:val="clear" w:color="auto" w:fill="auto"/>
            <w:vAlign w:val="center"/>
          </w:tcPr>
          <w:p>
            <w:pPr>
              <w:jc w:val="center"/>
              <w:textAlignment w:val="center"/>
              <w:rPr>
                <w:rFonts w:ascii="黑体" w:hAnsi="宋体" w:eastAsia="黑体" w:cs="黑体"/>
                <w:b/>
                <w:bCs/>
                <w:color w:val="000000"/>
                <w:sz w:val="28"/>
                <w:szCs w:val="28"/>
              </w:rPr>
            </w:pPr>
            <w:r>
              <w:rPr>
                <w:rFonts w:hint="eastAsia" w:ascii="黑体" w:hAnsi="宋体" w:eastAsia="黑体" w:cs="黑体"/>
                <w:b/>
                <w:bCs/>
                <w:color w:val="000000"/>
                <w:sz w:val="28"/>
                <w:szCs w:val="28"/>
              </w:rPr>
              <w:t>合计</w:t>
            </w:r>
          </w:p>
        </w:tc>
        <w:tc>
          <w:tcPr>
            <w:tcW w:w="2296" w:type="dxa"/>
            <w:tcBorders>
              <w:top w:val="single" w:color="000000" w:sz="4" w:space="0"/>
              <w:left w:val="single" w:color="000000" w:sz="4" w:space="0"/>
              <w:right w:val="single" w:color="000000" w:sz="4" w:space="0"/>
            </w:tcBorders>
            <w:shd w:val="clear" w:color="auto" w:fill="auto"/>
            <w:vAlign w:val="center"/>
          </w:tcPr>
          <w:p>
            <w:pPr>
              <w:jc w:val="center"/>
              <w:textAlignment w:val="center"/>
              <w:rPr>
                <w:rFonts w:ascii="黑体" w:hAnsi="宋体" w:eastAsia="黑体" w:cs="黑体"/>
                <w:color w:val="000000"/>
                <w:sz w:val="24"/>
                <w:szCs w:val="24"/>
              </w:rPr>
            </w:pPr>
            <w:r>
              <w:rPr>
                <w:rFonts w:hint="eastAsia" w:ascii="黑体" w:hAnsi="宋体" w:eastAsia="黑体" w:cs="黑体"/>
                <w:color w:val="000000"/>
                <w:sz w:val="24"/>
                <w:szCs w:val="24"/>
              </w:rPr>
              <w:t>38</w:t>
            </w:r>
          </w:p>
        </w:tc>
        <w:tc>
          <w:tcPr>
            <w:tcW w:w="2329" w:type="dxa"/>
            <w:tcBorders>
              <w:top w:val="single" w:color="000000" w:sz="4" w:space="0"/>
              <w:left w:val="single" w:color="000000" w:sz="4" w:space="0"/>
              <w:right w:val="single" w:color="000000" w:sz="4" w:space="0"/>
            </w:tcBorders>
            <w:shd w:val="clear" w:color="auto" w:fill="auto"/>
            <w:vAlign w:val="center"/>
          </w:tcPr>
          <w:p>
            <w:pPr>
              <w:jc w:val="center"/>
              <w:textAlignment w:val="center"/>
              <w:rPr>
                <w:rFonts w:ascii="黑体" w:hAnsi="宋体" w:eastAsia="黑体" w:cs="黑体"/>
                <w:color w:val="000000"/>
                <w:sz w:val="24"/>
                <w:szCs w:val="24"/>
              </w:rPr>
            </w:pPr>
            <w:r>
              <w:rPr>
                <w:rFonts w:hint="eastAsia" w:ascii="黑体" w:hAnsi="宋体" w:eastAsia="黑体" w:cs="黑体"/>
                <w:color w:val="000000"/>
                <w:sz w:val="24"/>
                <w:szCs w:val="24"/>
              </w:rPr>
              <w:t>49</w:t>
            </w:r>
          </w:p>
        </w:tc>
        <w:tc>
          <w:tcPr>
            <w:tcW w:w="2250" w:type="dxa"/>
            <w:tcBorders>
              <w:top w:val="single" w:color="000000" w:sz="4" w:space="0"/>
              <w:left w:val="single" w:color="000000" w:sz="4" w:space="0"/>
              <w:right w:val="single" w:color="000000" w:sz="4" w:space="0"/>
            </w:tcBorders>
            <w:shd w:val="clear" w:color="auto" w:fill="auto"/>
            <w:vAlign w:val="center"/>
          </w:tcPr>
          <w:p>
            <w:pPr>
              <w:jc w:val="center"/>
              <w:textAlignment w:val="center"/>
              <w:rPr>
                <w:rFonts w:ascii="黑体" w:hAnsi="宋体" w:eastAsia="黑体" w:cs="黑体"/>
                <w:color w:val="000000"/>
                <w:sz w:val="24"/>
                <w:szCs w:val="24"/>
              </w:rPr>
            </w:pPr>
            <w:r>
              <w:rPr>
                <w:rFonts w:hint="eastAsia" w:ascii="黑体" w:hAnsi="宋体" w:eastAsia="黑体" w:cs="黑体"/>
                <w:color w:val="000000"/>
                <w:sz w:val="24"/>
                <w:szCs w:val="24"/>
              </w:rPr>
              <w:t>116.715</w:t>
            </w:r>
          </w:p>
        </w:tc>
        <w:tc>
          <w:tcPr>
            <w:tcW w:w="2515" w:type="dxa"/>
            <w:tcBorders>
              <w:top w:val="single" w:color="000000" w:sz="4" w:space="0"/>
              <w:left w:val="single" w:color="000000" w:sz="4" w:space="0"/>
              <w:right w:val="single" w:color="000000" w:sz="4" w:space="0"/>
            </w:tcBorders>
            <w:shd w:val="clear" w:color="auto" w:fill="auto"/>
            <w:vAlign w:val="center"/>
          </w:tcPr>
          <w:p>
            <w:pPr>
              <w:jc w:val="center"/>
              <w:textAlignment w:val="center"/>
              <w:rPr>
                <w:rFonts w:ascii="黑体" w:hAnsi="宋体" w:eastAsia="黑体" w:cs="黑体"/>
                <w:color w:val="000000"/>
                <w:sz w:val="24"/>
                <w:szCs w:val="24"/>
              </w:rPr>
            </w:pPr>
            <w:r>
              <w:rPr>
                <w:rFonts w:hint="eastAsia" w:ascii="黑体" w:hAnsi="宋体" w:eastAsia="黑体" w:cs="黑体"/>
                <w:color w:val="000000"/>
                <w:sz w:val="24"/>
                <w:szCs w:val="24"/>
              </w:rPr>
              <w:t>87.1</w:t>
            </w:r>
          </w:p>
        </w:tc>
        <w:tc>
          <w:tcPr>
            <w:tcW w:w="2125" w:type="dxa"/>
            <w:tcBorders>
              <w:top w:val="single" w:color="000000" w:sz="4" w:space="0"/>
              <w:left w:val="single" w:color="000000" w:sz="4" w:space="0"/>
            </w:tcBorders>
            <w:shd w:val="clear" w:color="auto" w:fill="auto"/>
            <w:vAlign w:val="center"/>
          </w:tcPr>
          <w:p>
            <w:pPr>
              <w:jc w:val="center"/>
              <w:textAlignment w:val="center"/>
              <w:rPr>
                <w:rFonts w:ascii="黑体" w:hAnsi="宋体" w:eastAsia="黑体" w:cs="黑体"/>
                <w:color w:val="000000"/>
                <w:sz w:val="24"/>
                <w:szCs w:val="24"/>
              </w:rPr>
            </w:pPr>
            <w:r>
              <w:rPr>
                <w:rFonts w:hint="eastAsia" w:ascii="黑体" w:hAnsi="宋体" w:eastAsia="黑体" w:cs="黑体"/>
                <w:color w:val="000000"/>
                <w:sz w:val="24"/>
                <w:szCs w:val="24"/>
              </w:rPr>
              <w:t>55955</w:t>
            </w:r>
          </w:p>
        </w:tc>
      </w:tr>
    </w:tbl>
    <w:p>
      <w:pPr>
        <w:pStyle w:val="2"/>
        <w:rPr>
          <w:rFonts w:ascii="仿宋" w:hAnsi="仿宋" w:eastAsia="仿宋" w:cs="仿宋"/>
          <w:szCs w:val="28"/>
        </w:rPr>
      </w:pPr>
    </w:p>
    <w:p>
      <w:pPr>
        <w:pStyle w:val="2"/>
        <w:rPr>
          <w:rFonts w:ascii="仿宋" w:hAnsi="仿宋" w:eastAsia="仿宋" w:cs="仿宋"/>
          <w:szCs w:val="28"/>
        </w:rPr>
      </w:pPr>
    </w:p>
    <w:p>
      <w:pPr>
        <w:pStyle w:val="2"/>
        <w:rPr>
          <w:rFonts w:ascii="仿宋" w:hAnsi="仿宋" w:eastAsia="仿宋" w:cs="仿宋"/>
          <w:szCs w:val="28"/>
        </w:rPr>
      </w:pPr>
    </w:p>
    <w:p>
      <w:pPr>
        <w:pStyle w:val="2"/>
        <w:rPr>
          <w:rFonts w:ascii="仿宋" w:hAnsi="仿宋" w:eastAsia="仿宋" w:cs="仿宋"/>
          <w:szCs w:val="28"/>
        </w:rPr>
      </w:pPr>
    </w:p>
    <w:p>
      <w:pPr>
        <w:pStyle w:val="2"/>
        <w:rPr>
          <w:rFonts w:ascii="仿宋" w:hAnsi="仿宋" w:eastAsia="仿宋" w:cs="仿宋"/>
          <w:szCs w:val="28"/>
        </w:rPr>
      </w:pPr>
    </w:p>
    <w:p>
      <w:pPr>
        <w:pStyle w:val="13"/>
        <w:tabs>
          <w:tab w:val="right" w:leader="dot" w:pos="8296"/>
        </w:tabs>
        <w:ind w:left="440"/>
        <w:outlineLvl w:val="0"/>
        <w:rPr>
          <w:rFonts w:ascii="仿宋" w:hAnsi="仿宋" w:eastAsia="仿宋" w:cs="仿宋"/>
          <w:b/>
          <w:bCs/>
          <w:sz w:val="36"/>
          <w:szCs w:val="20"/>
        </w:rPr>
      </w:pPr>
      <w:bookmarkStart w:id="72" w:name="_Toc2534"/>
      <w:r>
        <w:rPr>
          <w:rFonts w:hint="eastAsia" w:ascii="仿宋" w:hAnsi="仿宋" w:eastAsia="仿宋" w:cs="仿宋"/>
          <w:b/>
          <w:bCs/>
          <w:sz w:val="36"/>
          <w:szCs w:val="20"/>
        </w:rPr>
        <w:t>附件2：             鹿城区教育局教育事业发展“十四五”规划项目库</w:t>
      </w:r>
      <w:bookmarkEnd w:id="72"/>
    </w:p>
    <w:tbl>
      <w:tblPr>
        <w:tblStyle w:val="15"/>
        <w:tblW w:w="14783" w:type="dxa"/>
        <w:tblInd w:w="-84" w:type="dxa"/>
        <w:tblLayout w:type="fixed"/>
        <w:tblCellMar>
          <w:top w:w="0" w:type="dxa"/>
          <w:left w:w="108" w:type="dxa"/>
          <w:bottom w:w="0" w:type="dxa"/>
          <w:right w:w="108" w:type="dxa"/>
        </w:tblCellMar>
      </w:tblPr>
      <w:tblGrid>
        <w:gridCol w:w="581"/>
        <w:gridCol w:w="2138"/>
        <w:gridCol w:w="984"/>
        <w:gridCol w:w="1393"/>
        <w:gridCol w:w="3375"/>
        <w:gridCol w:w="1359"/>
        <w:gridCol w:w="2016"/>
        <w:gridCol w:w="1453"/>
        <w:gridCol w:w="1484"/>
      </w:tblGrid>
      <w:tr>
        <w:tblPrEx>
          <w:tblCellMar>
            <w:top w:w="0" w:type="dxa"/>
            <w:left w:w="108" w:type="dxa"/>
            <w:bottom w:w="0" w:type="dxa"/>
            <w:right w:w="108" w:type="dxa"/>
          </w:tblCellMar>
        </w:tblPrEx>
        <w:trPr>
          <w:trHeight w:val="90" w:hRule="atLeast"/>
          <w:tblHeader/>
        </w:trPr>
        <w:tc>
          <w:tcPr>
            <w:tcW w:w="581" w:type="dxa"/>
            <w:tcBorders>
              <w:top w:val="single" w:color="000000" w:sz="8" w:space="0"/>
              <w:left w:val="single" w:color="000000" w:sz="8" w:space="0"/>
              <w:bottom w:val="single" w:color="000000" w:sz="4" w:space="0"/>
              <w:right w:val="single" w:color="000000" w:sz="4" w:space="0"/>
            </w:tcBorders>
            <w:shd w:val="clear" w:color="auto" w:fill="F1F1F1" w:themeFill="background1" w:themeFillShade="F2"/>
            <w:vAlign w:val="center"/>
          </w:tcPr>
          <w:p>
            <w:pPr>
              <w:jc w:val="center"/>
              <w:textAlignment w:val="center"/>
              <w:rPr>
                <w:rFonts w:ascii="黑体" w:hAnsi="宋体" w:eastAsia="黑体" w:cs="黑体"/>
                <w:b/>
                <w:bCs/>
                <w:color w:val="000000"/>
                <w:sz w:val="24"/>
                <w:szCs w:val="24"/>
              </w:rPr>
            </w:pPr>
            <w:r>
              <w:rPr>
                <w:rFonts w:hint="eastAsia" w:ascii="黑体" w:hAnsi="宋体" w:eastAsia="黑体" w:cs="黑体"/>
                <w:b/>
                <w:bCs/>
                <w:color w:val="000000"/>
                <w:sz w:val="24"/>
                <w:szCs w:val="24"/>
              </w:rPr>
              <w:t>序号</w:t>
            </w:r>
          </w:p>
        </w:tc>
        <w:tc>
          <w:tcPr>
            <w:tcW w:w="2138" w:type="dxa"/>
            <w:tcBorders>
              <w:top w:val="single" w:color="000000" w:sz="8" w:space="0"/>
              <w:left w:val="single" w:color="000000" w:sz="4" w:space="0"/>
              <w:bottom w:val="single" w:color="000000" w:sz="4" w:space="0"/>
              <w:right w:val="single" w:color="000000" w:sz="4" w:space="0"/>
            </w:tcBorders>
            <w:shd w:val="clear" w:color="auto" w:fill="F1F1F1" w:themeFill="background1" w:themeFillShade="F2"/>
            <w:vAlign w:val="center"/>
          </w:tcPr>
          <w:p>
            <w:pPr>
              <w:jc w:val="center"/>
              <w:textAlignment w:val="center"/>
              <w:rPr>
                <w:rFonts w:ascii="黑体" w:hAnsi="宋体" w:eastAsia="黑体" w:cs="黑体"/>
                <w:b/>
                <w:bCs/>
                <w:color w:val="000000"/>
                <w:sz w:val="24"/>
                <w:szCs w:val="24"/>
              </w:rPr>
            </w:pPr>
            <w:r>
              <w:rPr>
                <w:rFonts w:hint="eastAsia" w:ascii="黑体" w:hAnsi="宋体" w:eastAsia="黑体" w:cs="黑体"/>
                <w:b/>
                <w:bCs/>
                <w:color w:val="000000"/>
                <w:sz w:val="24"/>
                <w:szCs w:val="24"/>
              </w:rPr>
              <w:t>项目名称</w:t>
            </w:r>
          </w:p>
        </w:tc>
        <w:tc>
          <w:tcPr>
            <w:tcW w:w="984" w:type="dxa"/>
            <w:tcBorders>
              <w:top w:val="single" w:color="000000" w:sz="8" w:space="0"/>
              <w:left w:val="single" w:color="000000" w:sz="4" w:space="0"/>
              <w:bottom w:val="single" w:color="000000" w:sz="4" w:space="0"/>
              <w:right w:val="single" w:color="000000" w:sz="4" w:space="0"/>
            </w:tcBorders>
            <w:shd w:val="clear" w:color="auto" w:fill="F1F1F1" w:themeFill="background1" w:themeFillShade="F2"/>
            <w:vAlign w:val="center"/>
          </w:tcPr>
          <w:p>
            <w:pPr>
              <w:jc w:val="center"/>
              <w:textAlignment w:val="center"/>
              <w:rPr>
                <w:rFonts w:ascii="黑体" w:hAnsi="宋体" w:eastAsia="黑体" w:cs="黑体"/>
                <w:b/>
                <w:bCs/>
                <w:color w:val="000000"/>
                <w:sz w:val="24"/>
                <w:szCs w:val="24"/>
              </w:rPr>
            </w:pPr>
            <w:r>
              <w:rPr>
                <w:rFonts w:hint="eastAsia" w:ascii="黑体" w:hAnsi="宋体" w:eastAsia="黑体" w:cs="黑体"/>
                <w:b/>
                <w:bCs/>
                <w:color w:val="000000"/>
                <w:sz w:val="24"/>
                <w:szCs w:val="24"/>
              </w:rPr>
              <w:t>项目 类型</w:t>
            </w:r>
          </w:p>
        </w:tc>
        <w:tc>
          <w:tcPr>
            <w:tcW w:w="1393" w:type="dxa"/>
            <w:tcBorders>
              <w:top w:val="single" w:color="000000" w:sz="8" w:space="0"/>
              <w:left w:val="single" w:color="000000" w:sz="4" w:space="0"/>
              <w:bottom w:val="single" w:color="000000" w:sz="4" w:space="0"/>
              <w:right w:val="single" w:color="000000" w:sz="4" w:space="0"/>
            </w:tcBorders>
            <w:shd w:val="clear" w:color="auto" w:fill="F1F1F1" w:themeFill="background1" w:themeFillShade="F2"/>
            <w:vAlign w:val="center"/>
          </w:tcPr>
          <w:p>
            <w:pPr>
              <w:jc w:val="center"/>
              <w:textAlignment w:val="center"/>
              <w:rPr>
                <w:rFonts w:ascii="黑体" w:hAnsi="宋体" w:eastAsia="黑体" w:cs="黑体"/>
                <w:b/>
                <w:bCs/>
                <w:color w:val="000000"/>
                <w:sz w:val="24"/>
                <w:szCs w:val="24"/>
              </w:rPr>
            </w:pPr>
            <w:r>
              <w:rPr>
                <w:rFonts w:hint="eastAsia" w:ascii="黑体" w:hAnsi="宋体" w:eastAsia="黑体" w:cs="黑体"/>
                <w:b/>
                <w:bCs/>
                <w:color w:val="000000"/>
                <w:sz w:val="24"/>
                <w:szCs w:val="24"/>
              </w:rPr>
              <w:t>项目  期限</w:t>
            </w:r>
          </w:p>
        </w:tc>
        <w:tc>
          <w:tcPr>
            <w:tcW w:w="3375" w:type="dxa"/>
            <w:tcBorders>
              <w:top w:val="single" w:color="000000" w:sz="8" w:space="0"/>
              <w:left w:val="single" w:color="000000" w:sz="4" w:space="0"/>
              <w:bottom w:val="single" w:color="000000" w:sz="4" w:space="0"/>
              <w:right w:val="single" w:color="000000" w:sz="4" w:space="0"/>
            </w:tcBorders>
            <w:shd w:val="clear" w:color="auto" w:fill="F1F1F1" w:themeFill="background1" w:themeFillShade="F2"/>
            <w:vAlign w:val="center"/>
          </w:tcPr>
          <w:p>
            <w:pPr>
              <w:jc w:val="center"/>
              <w:textAlignment w:val="center"/>
              <w:rPr>
                <w:rFonts w:ascii="黑体" w:hAnsi="宋体" w:eastAsia="黑体" w:cs="黑体"/>
                <w:b/>
                <w:bCs/>
                <w:color w:val="000000"/>
                <w:sz w:val="24"/>
                <w:szCs w:val="24"/>
              </w:rPr>
            </w:pPr>
            <w:r>
              <w:rPr>
                <w:rFonts w:hint="eastAsia" w:ascii="黑体" w:hAnsi="宋体" w:eastAsia="黑体" w:cs="黑体"/>
                <w:b/>
                <w:bCs/>
                <w:color w:val="000000"/>
                <w:sz w:val="24"/>
                <w:szCs w:val="24"/>
              </w:rPr>
              <w:t>建设内容和规模</w:t>
            </w:r>
          </w:p>
        </w:tc>
        <w:tc>
          <w:tcPr>
            <w:tcW w:w="1359" w:type="dxa"/>
            <w:tcBorders>
              <w:top w:val="single" w:color="000000" w:sz="8" w:space="0"/>
              <w:left w:val="single" w:color="000000" w:sz="4" w:space="0"/>
              <w:bottom w:val="single" w:color="000000" w:sz="4" w:space="0"/>
              <w:right w:val="single" w:color="000000" w:sz="4" w:space="0"/>
            </w:tcBorders>
            <w:shd w:val="clear" w:color="auto" w:fill="F1F1F1" w:themeFill="background1" w:themeFillShade="F2"/>
            <w:vAlign w:val="center"/>
          </w:tcPr>
          <w:p>
            <w:pPr>
              <w:jc w:val="center"/>
              <w:textAlignment w:val="center"/>
              <w:rPr>
                <w:rFonts w:ascii="黑体" w:hAnsi="宋体" w:eastAsia="黑体" w:cs="黑体"/>
                <w:b/>
                <w:bCs/>
                <w:color w:val="000000"/>
                <w:sz w:val="24"/>
                <w:szCs w:val="24"/>
              </w:rPr>
            </w:pPr>
            <w:r>
              <w:rPr>
                <w:rFonts w:hint="eastAsia" w:ascii="黑体" w:hAnsi="宋体" w:eastAsia="黑体" w:cs="黑体"/>
                <w:b/>
                <w:bCs/>
                <w:color w:val="000000"/>
                <w:sz w:val="24"/>
                <w:szCs w:val="24"/>
              </w:rPr>
              <w:t>总投资</w:t>
            </w:r>
            <w:r>
              <w:rPr>
                <w:rStyle w:val="29"/>
                <w:rFonts w:hint="default"/>
              </w:rPr>
              <w:t>（亿元）</w:t>
            </w:r>
          </w:p>
        </w:tc>
        <w:tc>
          <w:tcPr>
            <w:tcW w:w="2016" w:type="dxa"/>
            <w:tcBorders>
              <w:top w:val="single" w:color="000000" w:sz="8" w:space="0"/>
              <w:left w:val="single" w:color="000000" w:sz="4" w:space="0"/>
              <w:bottom w:val="single" w:color="000000" w:sz="4" w:space="0"/>
              <w:right w:val="single" w:color="000000" w:sz="4" w:space="0"/>
            </w:tcBorders>
            <w:shd w:val="clear" w:color="auto" w:fill="F1F1F1" w:themeFill="background1" w:themeFillShade="F2"/>
          </w:tcPr>
          <w:p>
            <w:pPr>
              <w:ind w:left="482" w:hanging="482" w:hangingChars="200"/>
              <w:textAlignment w:val="top"/>
              <w:rPr>
                <w:rFonts w:ascii="黑体" w:hAnsi="宋体" w:eastAsia="黑体" w:cs="黑体"/>
                <w:b/>
                <w:bCs/>
                <w:color w:val="000000"/>
                <w:sz w:val="24"/>
                <w:szCs w:val="24"/>
              </w:rPr>
            </w:pPr>
            <w:r>
              <w:rPr>
                <w:rFonts w:hint="eastAsia" w:ascii="黑体" w:hAnsi="宋体" w:eastAsia="黑体" w:cs="黑体"/>
                <w:b/>
                <w:bCs/>
                <w:color w:val="000000"/>
                <w:sz w:val="24"/>
                <w:szCs w:val="24"/>
              </w:rPr>
              <w:t>“十四五”投资（亿元）</w:t>
            </w:r>
          </w:p>
        </w:tc>
        <w:tc>
          <w:tcPr>
            <w:tcW w:w="1453" w:type="dxa"/>
            <w:tcBorders>
              <w:top w:val="single" w:color="000000" w:sz="8" w:space="0"/>
              <w:left w:val="single" w:color="000000" w:sz="4" w:space="0"/>
              <w:bottom w:val="single" w:color="000000" w:sz="4" w:space="0"/>
              <w:right w:val="single" w:color="000000" w:sz="4" w:space="0"/>
            </w:tcBorders>
            <w:shd w:val="clear" w:color="auto" w:fill="F1F1F1" w:themeFill="background1" w:themeFillShade="F2"/>
            <w:noWrap/>
            <w:vAlign w:val="center"/>
          </w:tcPr>
          <w:p>
            <w:pPr>
              <w:jc w:val="center"/>
              <w:textAlignment w:val="center"/>
              <w:rPr>
                <w:rFonts w:ascii="黑体" w:hAnsi="宋体" w:eastAsia="黑体" w:cs="黑体"/>
                <w:b/>
                <w:bCs/>
                <w:color w:val="000000"/>
                <w:sz w:val="24"/>
                <w:szCs w:val="24"/>
              </w:rPr>
            </w:pPr>
            <w:r>
              <w:rPr>
                <w:rFonts w:hint="eastAsia" w:ascii="黑体" w:hAnsi="宋体" w:eastAsia="黑体" w:cs="黑体"/>
                <w:b/>
                <w:bCs/>
                <w:color w:val="000000"/>
                <w:sz w:val="24"/>
                <w:szCs w:val="24"/>
              </w:rPr>
              <w:t>总学位数（个）</w:t>
            </w:r>
          </w:p>
        </w:tc>
        <w:tc>
          <w:tcPr>
            <w:tcW w:w="1484" w:type="dxa"/>
            <w:tcBorders>
              <w:top w:val="single" w:color="000000" w:sz="8" w:space="0"/>
              <w:left w:val="single" w:color="000000" w:sz="4" w:space="0"/>
              <w:bottom w:val="single" w:color="000000" w:sz="4" w:space="0"/>
              <w:right w:val="single" w:color="000000" w:sz="8" w:space="0"/>
            </w:tcBorders>
            <w:shd w:val="clear" w:color="auto" w:fill="F1F1F1" w:themeFill="background1" w:themeFillShade="F2"/>
            <w:vAlign w:val="center"/>
          </w:tcPr>
          <w:p>
            <w:pPr>
              <w:jc w:val="center"/>
              <w:textAlignment w:val="center"/>
              <w:rPr>
                <w:rFonts w:ascii="黑体" w:hAnsi="宋体" w:eastAsia="黑体" w:cs="黑体"/>
                <w:b/>
                <w:bCs/>
                <w:color w:val="000000"/>
                <w:sz w:val="24"/>
                <w:szCs w:val="24"/>
              </w:rPr>
            </w:pPr>
            <w:r>
              <w:rPr>
                <w:rFonts w:hint="eastAsia" w:ascii="黑体" w:hAnsi="宋体" w:eastAsia="黑体" w:cs="黑体"/>
                <w:b/>
                <w:bCs/>
                <w:color w:val="000000"/>
                <w:sz w:val="24"/>
                <w:szCs w:val="24"/>
              </w:rPr>
              <w:t>新增学位数（个）</w:t>
            </w:r>
          </w:p>
        </w:tc>
      </w:tr>
      <w:tr>
        <w:tblPrEx>
          <w:tblCellMar>
            <w:top w:w="0" w:type="dxa"/>
            <w:left w:w="108" w:type="dxa"/>
            <w:bottom w:w="0" w:type="dxa"/>
            <w:right w:w="108" w:type="dxa"/>
          </w:tblCellMar>
        </w:tblPrEx>
        <w:trPr>
          <w:trHeight w:val="300" w:hRule="atLeast"/>
        </w:trPr>
        <w:tc>
          <w:tcPr>
            <w:tcW w:w="14783" w:type="dxa"/>
            <w:gridSpan w:val="9"/>
            <w:tcBorders>
              <w:top w:val="single" w:color="000000" w:sz="4" w:space="0"/>
              <w:left w:val="single" w:color="000000" w:sz="8" w:space="0"/>
              <w:bottom w:val="single" w:color="000000" w:sz="4" w:space="0"/>
              <w:right w:val="single" w:color="000000" w:sz="4" w:space="0"/>
            </w:tcBorders>
            <w:shd w:val="clear" w:color="auto" w:fill="auto"/>
            <w:vAlign w:val="center"/>
          </w:tcPr>
          <w:p>
            <w:pPr>
              <w:textAlignment w:val="center"/>
              <w:rPr>
                <w:rFonts w:ascii="黑体" w:hAnsi="宋体" w:eastAsia="黑体" w:cs="黑体"/>
                <w:b/>
                <w:bCs/>
                <w:color w:val="000000"/>
                <w:sz w:val="24"/>
                <w:szCs w:val="24"/>
              </w:rPr>
            </w:pPr>
            <w:r>
              <w:rPr>
                <w:rFonts w:hint="eastAsia" w:ascii="黑体" w:hAnsi="宋体" w:eastAsia="黑体" w:cs="黑体"/>
                <w:b/>
                <w:bCs/>
                <w:color w:val="000000"/>
                <w:sz w:val="28"/>
                <w:szCs w:val="28"/>
              </w:rPr>
              <w:t>一、学前教育</w:t>
            </w:r>
          </w:p>
        </w:tc>
      </w:tr>
      <w:tr>
        <w:tblPrEx>
          <w:tblCellMar>
            <w:top w:w="0" w:type="dxa"/>
            <w:left w:w="108" w:type="dxa"/>
            <w:bottom w:w="0" w:type="dxa"/>
            <w:right w:w="108" w:type="dxa"/>
          </w:tblCellMar>
        </w:tblPrEx>
        <w:trPr>
          <w:trHeight w:val="880" w:hRule="atLeast"/>
        </w:trPr>
        <w:tc>
          <w:tcPr>
            <w:tcW w:w="581"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rPr>
            </w:pPr>
            <w:r>
              <w:rPr>
                <w:rFonts w:hint="eastAsia" w:ascii="宋体" w:hAnsi="宋体" w:eastAsia="宋体" w:cs="宋体"/>
                <w:color w:val="000000"/>
              </w:rPr>
              <w:t>1</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color w:val="000000"/>
              </w:rPr>
            </w:pPr>
            <w:r>
              <w:rPr>
                <w:rFonts w:hint="eastAsia" w:ascii="宋体" w:hAnsi="宋体" w:eastAsia="宋体" w:cs="宋体"/>
                <w:color w:val="000000"/>
              </w:rPr>
              <w:t>全区幼儿园续建项目</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000000"/>
              </w:rPr>
            </w:pPr>
            <w:r>
              <w:rPr>
                <w:rFonts w:hint="eastAsia" w:ascii="宋体" w:hAnsi="宋体" w:eastAsia="宋体" w:cs="宋体"/>
                <w:color w:val="000000"/>
              </w:rPr>
              <w:t>续建</w:t>
            </w:r>
          </w:p>
        </w:tc>
        <w:tc>
          <w:tcPr>
            <w:tcW w:w="13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000000"/>
              </w:rPr>
            </w:pPr>
            <w:r>
              <w:rPr>
                <w:rFonts w:hint="eastAsia" w:ascii="宋体" w:hAnsi="宋体" w:eastAsia="宋体" w:cs="宋体"/>
                <w:color w:val="000000"/>
              </w:rPr>
              <w:t>2019</w:t>
            </w:r>
          </w:p>
          <w:p>
            <w:pPr>
              <w:jc w:val="center"/>
              <w:textAlignment w:val="center"/>
              <w:rPr>
                <w:rFonts w:ascii="宋体" w:hAnsi="宋体" w:eastAsia="宋体" w:cs="宋体"/>
                <w:color w:val="000000"/>
              </w:rPr>
            </w:pPr>
            <w:r>
              <w:rPr>
                <w:rFonts w:hint="eastAsia" w:ascii="宋体" w:hAnsi="宋体" w:eastAsia="宋体" w:cs="宋体"/>
                <w:color w:val="000000"/>
              </w:rPr>
              <w:t>-2023</w:t>
            </w:r>
          </w:p>
        </w:tc>
        <w:tc>
          <w:tcPr>
            <w:tcW w:w="3375" w:type="dxa"/>
            <w:tcBorders>
              <w:top w:val="single" w:color="000000" w:sz="4" w:space="0"/>
              <w:left w:val="single" w:color="000000" w:sz="4" w:space="0"/>
              <w:bottom w:val="single" w:color="000000" w:sz="4" w:space="0"/>
              <w:right w:val="single" w:color="000000" w:sz="4" w:space="0"/>
            </w:tcBorders>
            <w:shd w:val="clear" w:color="auto" w:fill="auto"/>
          </w:tcPr>
          <w:p>
            <w:pPr>
              <w:textAlignment w:val="top"/>
              <w:rPr>
                <w:rFonts w:ascii="宋体" w:hAnsi="宋体" w:eastAsia="宋体" w:cs="宋体"/>
                <w:color w:val="000000"/>
              </w:rPr>
            </w:pPr>
            <w:r>
              <w:rPr>
                <w:rFonts w:hint="eastAsia" w:ascii="宋体" w:hAnsi="宋体" w:eastAsia="宋体" w:cs="宋体"/>
                <w:color w:val="000000"/>
              </w:rPr>
              <w:t>温州第十一幼改扩建、温州市鹿城区山福镇中心幼儿园（暂名）、葡萄棚幼儿园（暂名）、万科城市中心区</w:t>
            </w:r>
            <w:r>
              <w:rPr>
                <w:rStyle w:val="30"/>
                <w:rFonts w:hint="eastAsia" w:ascii="宋体" w:hAnsi="宋体" w:eastAsia="宋体" w:cs="宋体"/>
              </w:rPr>
              <w:t xml:space="preserve"> d-28-1 </w:t>
            </w:r>
            <w:r>
              <w:rPr>
                <w:rStyle w:val="31"/>
                <w:rFonts w:hint="default"/>
              </w:rPr>
              <w:t>地块配套幼儿园（暂名）等</w:t>
            </w:r>
            <w:r>
              <w:rPr>
                <w:rStyle w:val="30"/>
                <w:rFonts w:hint="eastAsia" w:ascii="宋体" w:hAnsi="宋体" w:eastAsia="宋体" w:cs="宋体"/>
              </w:rPr>
              <w:br w:type="textWrapping"/>
            </w:r>
            <w:r>
              <w:rPr>
                <w:rStyle w:val="30"/>
                <w:rFonts w:hint="eastAsia" w:ascii="宋体" w:hAnsi="宋体" w:eastAsia="宋体" w:cs="宋体"/>
              </w:rPr>
              <w:t xml:space="preserve">25 </w:t>
            </w:r>
            <w:r>
              <w:rPr>
                <w:rStyle w:val="31"/>
                <w:rFonts w:hint="default"/>
              </w:rPr>
              <w:t>个项目。</w:t>
            </w:r>
          </w:p>
        </w:tc>
        <w:tc>
          <w:tcPr>
            <w:tcW w:w="13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rPr>
            </w:pPr>
            <w:r>
              <w:rPr>
                <w:rFonts w:hint="eastAsia" w:ascii="宋体" w:hAnsi="宋体" w:eastAsia="宋体" w:cs="宋体"/>
                <w:color w:val="000000"/>
              </w:rPr>
              <w:t>7.85</w:t>
            </w:r>
          </w:p>
        </w:tc>
        <w:tc>
          <w:tcPr>
            <w:tcW w:w="2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rPr>
            </w:pPr>
            <w:r>
              <w:rPr>
                <w:rFonts w:hint="eastAsia" w:ascii="宋体" w:hAnsi="宋体" w:eastAsia="宋体" w:cs="宋体"/>
                <w:color w:val="000000"/>
              </w:rPr>
              <w:t>5.32</w:t>
            </w:r>
          </w:p>
        </w:tc>
        <w:tc>
          <w:tcPr>
            <w:tcW w:w="145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imes New Roman" w:hAnsi="Times New Roman" w:eastAsia="宋体"/>
                <w:color w:val="000000"/>
              </w:rPr>
            </w:pPr>
          </w:p>
        </w:tc>
        <w:tc>
          <w:tcPr>
            <w:tcW w:w="1484" w:type="dxa"/>
            <w:vMerge w:val="restart"/>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textAlignment w:val="center"/>
              <w:rPr>
                <w:rFonts w:ascii="Times New Roman" w:hAnsi="Times New Roman" w:eastAsia="宋体"/>
                <w:color w:val="000000"/>
              </w:rPr>
            </w:pPr>
            <w:r>
              <w:rPr>
                <w:rFonts w:hint="eastAsia" w:ascii="宋体" w:hAnsi="宋体" w:eastAsia="宋体" w:cs="宋体"/>
                <w:color w:val="000000"/>
              </w:rPr>
              <w:t>16650</w:t>
            </w:r>
          </w:p>
        </w:tc>
      </w:tr>
      <w:tr>
        <w:tblPrEx>
          <w:tblCellMar>
            <w:top w:w="0" w:type="dxa"/>
            <w:left w:w="108" w:type="dxa"/>
            <w:bottom w:w="0" w:type="dxa"/>
            <w:right w:w="108" w:type="dxa"/>
          </w:tblCellMar>
        </w:tblPrEx>
        <w:trPr>
          <w:trHeight w:val="1260" w:hRule="atLeast"/>
        </w:trPr>
        <w:tc>
          <w:tcPr>
            <w:tcW w:w="581"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rPr>
            </w:pPr>
            <w:r>
              <w:rPr>
                <w:rFonts w:hint="eastAsia" w:ascii="宋体" w:hAnsi="宋体" w:eastAsia="宋体" w:cs="宋体"/>
                <w:color w:val="000000"/>
              </w:rPr>
              <w:t>2</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color w:val="000000"/>
              </w:rPr>
            </w:pPr>
            <w:r>
              <w:rPr>
                <w:rFonts w:hint="eastAsia" w:ascii="宋体" w:hAnsi="宋体" w:eastAsia="宋体" w:cs="宋体"/>
                <w:color w:val="000000"/>
              </w:rPr>
              <w:t>全区幼儿园新建项目</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000000"/>
              </w:rPr>
            </w:pPr>
            <w:r>
              <w:rPr>
                <w:rFonts w:hint="eastAsia" w:ascii="宋体" w:hAnsi="宋体" w:eastAsia="宋体" w:cs="宋体"/>
                <w:color w:val="000000"/>
              </w:rPr>
              <w:t>新建</w:t>
            </w:r>
          </w:p>
        </w:tc>
        <w:tc>
          <w:tcPr>
            <w:tcW w:w="13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000000"/>
              </w:rPr>
            </w:pPr>
            <w:r>
              <w:rPr>
                <w:rFonts w:hint="eastAsia" w:ascii="宋体" w:hAnsi="宋体" w:eastAsia="宋体" w:cs="宋体"/>
                <w:color w:val="000000"/>
              </w:rPr>
              <w:t>2021</w:t>
            </w:r>
          </w:p>
          <w:p>
            <w:pPr>
              <w:jc w:val="center"/>
              <w:textAlignment w:val="center"/>
              <w:rPr>
                <w:rFonts w:ascii="宋体" w:hAnsi="宋体" w:eastAsia="宋体" w:cs="宋体"/>
                <w:color w:val="000000"/>
              </w:rPr>
            </w:pPr>
            <w:r>
              <w:rPr>
                <w:rFonts w:hint="eastAsia" w:ascii="宋体" w:hAnsi="宋体" w:eastAsia="宋体" w:cs="宋体"/>
                <w:color w:val="000000"/>
              </w:rPr>
              <w:t>-2025</w:t>
            </w:r>
          </w:p>
        </w:tc>
        <w:tc>
          <w:tcPr>
            <w:tcW w:w="3375" w:type="dxa"/>
            <w:tcBorders>
              <w:top w:val="single" w:color="000000" w:sz="4" w:space="0"/>
              <w:left w:val="single" w:color="000000" w:sz="4" w:space="0"/>
              <w:bottom w:val="single" w:color="000000" w:sz="4" w:space="0"/>
              <w:right w:val="single" w:color="000000" w:sz="4" w:space="0"/>
            </w:tcBorders>
            <w:shd w:val="clear" w:color="auto" w:fill="auto"/>
          </w:tcPr>
          <w:p>
            <w:pPr>
              <w:textAlignment w:val="top"/>
              <w:rPr>
                <w:rFonts w:ascii="宋体" w:hAnsi="宋体" w:eastAsia="宋体" w:cs="宋体"/>
                <w:color w:val="000000"/>
              </w:rPr>
            </w:pPr>
            <w:r>
              <w:rPr>
                <w:rFonts w:hint="eastAsia" w:ascii="宋体" w:hAnsi="宋体" w:eastAsia="宋体" w:cs="宋体"/>
                <w:color w:val="000000"/>
              </w:rPr>
              <w:t>杨府山</w:t>
            </w:r>
            <w:r>
              <w:rPr>
                <w:rStyle w:val="30"/>
                <w:rFonts w:hint="eastAsia" w:ascii="宋体" w:hAnsi="宋体" w:eastAsia="宋体" w:cs="宋体"/>
              </w:rPr>
              <w:t xml:space="preserve"> CBD </w:t>
            </w:r>
            <w:r>
              <w:rPr>
                <w:rStyle w:val="31"/>
                <w:rFonts w:hint="default"/>
              </w:rPr>
              <w:t>片区</w:t>
            </w:r>
            <w:r>
              <w:rPr>
                <w:rStyle w:val="30"/>
                <w:rFonts w:hint="eastAsia" w:ascii="宋体" w:hAnsi="宋体" w:eastAsia="宋体" w:cs="宋体"/>
              </w:rPr>
              <w:t xml:space="preserve"> 13-04 </w:t>
            </w:r>
            <w:r>
              <w:rPr>
                <w:rStyle w:val="31"/>
                <w:rFonts w:hint="default"/>
              </w:rPr>
              <w:t>地块幼儿园（暂名）、牛山单元</w:t>
            </w:r>
            <w:r>
              <w:rPr>
                <w:rStyle w:val="30"/>
                <w:rFonts w:hint="eastAsia" w:ascii="宋体" w:hAnsi="宋体" w:eastAsia="宋体" w:cs="宋体"/>
              </w:rPr>
              <w:t xml:space="preserve"> e-25b </w:t>
            </w:r>
            <w:r>
              <w:rPr>
                <w:rStyle w:val="31"/>
                <w:rFonts w:hint="default"/>
              </w:rPr>
              <w:t>地块（牛桥底）幼儿园（暂名）老港区二期幼儿园（暂名）、温州市滨江商务区</w:t>
            </w:r>
            <w:r>
              <w:rPr>
                <w:rStyle w:val="30"/>
                <w:rFonts w:hint="eastAsia" w:ascii="宋体" w:hAnsi="宋体" w:eastAsia="宋体" w:cs="宋体"/>
              </w:rPr>
              <w:t xml:space="preserve"> 03-01-08 </w:t>
            </w:r>
            <w:r>
              <w:rPr>
                <w:rStyle w:val="31"/>
                <w:rFonts w:hint="default"/>
              </w:rPr>
              <w:t>地块、南塘西片</w:t>
            </w:r>
            <w:r>
              <w:rPr>
                <w:rStyle w:val="30"/>
                <w:rFonts w:hint="eastAsia" w:ascii="宋体" w:hAnsi="宋体" w:eastAsia="宋体" w:cs="宋体"/>
              </w:rPr>
              <w:t xml:space="preserve"> C-11-1b </w:t>
            </w:r>
            <w:r>
              <w:rPr>
                <w:rStyle w:val="31"/>
                <w:rFonts w:hint="default"/>
              </w:rPr>
              <w:t>地块幼儿园</w:t>
            </w:r>
            <w:r>
              <w:rPr>
                <w:rStyle w:val="30"/>
                <w:rFonts w:hint="eastAsia" w:ascii="宋体" w:hAnsi="宋体" w:eastAsia="宋体" w:cs="宋体"/>
              </w:rPr>
              <w:br w:type="textWrapping"/>
            </w:r>
            <w:r>
              <w:rPr>
                <w:rStyle w:val="31"/>
                <w:rFonts w:hint="default"/>
              </w:rPr>
              <w:t>（暂名）等</w:t>
            </w:r>
            <w:r>
              <w:rPr>
                <w:rStyle w:val="30"/>
                <w:rFonts w:hint="eastAsia" w:ascii="宋体" w:hAnsi="宋体" w:eastAsia="宋体" w:cs="宋体"/>
              </w:rPr>
              <w:t xml:space="preserve"> 26 </w:t>
            </w:r>
            <w:r>
              <w:rPr>
                <w:rStyle w:val="31"/>
                <w:rFonts w:hint="default"/>
              </w:rPr>
              <w:t>个项目。</w:t>
            </w:r>
          </w:p>
        </w:tc>
        <w:tc>
          <w:tcPr>
            <w:tcW w:w="13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000000"/>
              </w:rPr>
            </w:pPr>
            <w:r>
              <w:rPr>
                <w:rFonts w:hint="eastAsia" w:ascii="宋体" w:hAnsi="宋体" w:eastAsia="宋体" w:cs="宋体"/>
                <w:color w:val="000000"/>
              </w:rPr>
              <w:t>8.44</w:t>
            </w:r>
          </w:p>
        </w:tc>
        <w:tc>
          <w:tcPr>
            <w:tcW w:w="2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rPr>
            </w:pPr>
            <w:r>
              <w:rPr>
                <w:rFonts w:hint="eastAsia" w:ascii="宋体" w:hAnsi="宋体" w:eastAsia="宋体" w:cs="宋体"/>
                <w:color w:val="000000"/>
              </w:rPr>
              <w:t>8.44</w:t>
            </w:r>
          </w:p>
        </w:tc>
        <w:tc>
          <w:tcPr>
            <w:tcW w:w="145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imes New Roman" w:hAnsi="Times New Roman" w:eastAsia="宋体"/>
                <w:color w:val="000000"/>
              </w:rPr>
            </w:pPr>
          </w:p>
        </w:tc>
        <w:tc>
          <w:tcPr>
            <w:tcW w:w="1484" w:type="dxa"/>
            <w:vMerge w:val="continue"/>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ascii="Times New Roman" w:hAnsi="Times New Roman" w:eastAsia="宋体"/>
                <w:color w:val="000000"/>
              </w:rPr>
            </w:pPr>
          </w:p>
        </w:tc>
      </w:tr>
      <w:tr>
        <w:tblPrEx>
          <w:tblCellMar>
            <w:top w:w="0" w:type="dxa"/>
            <w:left w:w="108" w:type="dxa"/>
            <w:bottom w:w="0" w:type="dxa"/>
            <w:right w:w="108" w:type="dxa"/>
          </w:tblCellMar>
        </w:tblPrEx>
        <w:trPr>
          <w:trHeight w:val="340" w:hRule="atLeast"/>
        </w:trPr>
        <w:tc>
          <w:tcPr>
            <w:tcW w:w="14783" w:type="dxa"/>
            <w:gridSpan w:val="9"/>
            <w:tcBorders>
              <w:top w:val="single" w:color="000000" w:sz="4" w:space="0"/>
              <w:left w:val="single" w:color="000000" w:sz="8" w:space="0"/>
              <w:bottom w:val="single" w:color="000000" w:sz="4" w:space="0"/>
              <w:right w:val="single" w:color="000000" w:sz="4" w:space="0"/>
            </w:tcBorders>
            <w:shd w:val="clear" w:color="auto" w:fill="auto"/>
            <w:vAlign w:val="center"/>
          </w:tcPr>
          <w:p>
            <w:pPr>
              <w:textAlignment w:val="center"/>
              <w:rPr>
                <w:rFonts w:ascii="黑体" w:hAnsi="宋体" w:eastAsia="黑体" w:cs="黑体"/>
                <w:b/>
                <w:bCs/>
                <w:color w:val="000000"/>
                <w:sz w:val="24"/>
                <w:szCs w:val="24"/>
              </w:rPr>
            </w:pPr>
            <w:r>
              <w:rPr>
                <w:rFonts w:hint="eastAsia" w:ascii="黑体" w:hAnsi="宋体" w:eastAsia="黑体" w:cs="黑体"/>
                <w:b/>
                <w:bCs/>
                <w:color w:val="000000"/>
                <w:sz w:val="28"/>
                <w:szCs w:val="28"/>
              </w:rPr>
              <w:t>二、义务教育</w:t>
            </w:r>
          </w:p>
        </w:tc>
      </w:tr>
      <w:tr>
        <w:tblPrEx>
          <w:tblCellMar>
            <w:top w:w="0" w:type="dxa"/>
            <w:left w:w="108" w:type="dxa"/>
            <w:bottom w:w="0" w:type="dxa"/>
            <w:right w:w="108" w:type="dxa"/>
          </w:tblCellMar>
        </w:tblPrEx>
        <w:trPr>
          <w:trHeight w:val="400" w:hRule="atLeast"/>
        </w:trPr>
        <w:tc>
          <w:tcPr>
            <w:tcW w:w="581"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rPr>
            </w:pPr>
            <w:r>
              <w:rPr>
                <w:rFonts w:hint="eastAsia" w:ascii="宋体" w:hAnsi="宋体" w:eastAsia="宋体" w:cs="宋体"/>
                <w:color w:val="000000"/>
              </w:rPr>
              <w:t>1</w:t>
            </w:r>
          </w:p>
        </w:tc>
        <w:tc>
          <w:tcPr>
            <w:tcW w:w="2138" w:type="dxa"/>
            <w:tcBorders>
              <w:top w:val="single" w:color="000000" w:sz="4" w:space="0"/>
              <w:left w:val="single" w:color="000000" w:sz="4" w:space="0"/>
              <w:bottom w:val="single" w:color="000000" w:sz="4" w:space="0"/>
              <w:right w:val="single" w:color="000000" w:sz="4" w:space="0"/>
            </w:tcBorders>
            <w:shd w:val="clear" w:color="auto" w:fill="auto"/>
          </w:tcPr>
          <w:p>
            <w:pPr>
              <w:textAlignment w:val="top"/>
              <w:rPr>
                <w:rFonts w:ascii="宋体" w:hAnsi="宋体" w:eastAsia="宋体" w:cs="宋体"/>
              </w:rPr>
            </w:pPr>
            <w:r>
              <w:rPr>
                <w:rFonts w:hint="eastAsia" w:ascii="宋体" w:hAnsi="宋体" w:eastAsia="宋体" w:cs="宋体"/>
              </w:rPr>
              <w:t>温州市林里片区 A-18地块小学（暂名）</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000000"/>
              </w:rPr>
            </w:pPr>
            <w:r>
              <w:rPr>
                <w:rFonts w:hint="eastAsia" w:ascii="宋体" w:hAnsi="宋体" w:eastAsia="宋体" w:cs="宋体"/>
                <w:color w:val="000000"/>
              </w:rPr>
              <w:t>续建</w:t>
            </w:r>
          </w:p>
        </w:tc>
        <w:tc>
          <w:tcPr>
            <w:tcW w:w="13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000000"/>
              </w:rPr>
            </w:pPr>
            <w:r>
              <w:rPr>
                <w:rFonts w:hint="eastAsia" w:ascii="宋体" w:hAnsi="宋体" w:eastAsia="宋体" w:cs="宋体"/>
                <w:color w:val="000000"/>
              </w:rPr>
              <w:t>2018</w:t>
            </w:r>
          </w:p>
          <w:p>
            <w:pPr>
              <w:jc w:val="center"/>
              <w:textAlignment w:val="center"/>
              <w:rPr>
                <w:rFonts w:ascii="宋体" w:hAnsi="宋体" w:eastAsia="宋体" w:cs="宋体"/>
                <w:color w:val="000000"/>
              </w:rPr>
            </w:pPr>
            <w:r>
              <w:rPr>
                <w:rFonts w:hint="eastAsia" w:ascii="宋体" w:hAnsi="宋体" w:eastAsia="宋体" w:cs="宋体"/>
                <w:color w:val="000000"/>
              </w:rPr>
              <w:t>-2021</w:t>
            </w:r>
          </w:p>
        </w:tc>
        <w:tc>
          <w:tcPr>
            <w:tcW w:w="3375" w:type="dxa"/>
            <w:tcBorders>
              <w:top w:val="single" w:color="000000" w:sz="4" w:space="0"/>
              <w:left w:val="single" w:color="000000" w:sz="4" w:space="0"/>
              <w:bottom w:val="single" w:color="000000" w:sz="4" w:space="0"/>
              <w:right w:val="single" w:color="000000" w:sz="4" w:space="0"/>
            </w:tcBorders>
            <w:shd w:val="clear" w:color="auto" w:fill="auto"/>
          </w:tcPr>
          <w:p>
            <w:pPr>
              <w:textAlignment w:val="top"/>
              <w:rPr>
                <w:rFonts w:ascii="宋体" w:hAnsi="宋体" w:eastAsia="宋体" w:cs="宋体"/>
                <w:color w:val="000000"/>
              </w:rPr>
            </w:pPr>
            <w:r>
              <w:rPr>
                <w:rFonts w:hint="eastAsia" w:ascii="宋体" w:hAnsi="宋体" w:eastAsia="宋体" w:cs="宋体"/>
                <w:color w:val="000000"/>
              </w:rPr>
              <w:t>项目用地面积</w:t>
            </w:r>
            <w:r>
              <w:rPr>
                <w:rStyle w:val="30"/>
                <w:rFonts w:hint="eastAsia" w:ascii="宋体" w:hAnsi="宋体" w:eastAsia="宋体" w:cs="宋体"/>
              </w:rPr>
              <w:t>23651</w:t>
            </w:r>
            <w:r>
              <w:rPr>
                <w:rStyle w:val="31"/>
                <w:rFonts w:hint="default"/>
              </w:rPr>
              <w:t>平方米，总建筑面积</w:t>
            </w:r>
            <w:r>
              <w:rPr>
                <w:rStyle w:val="30"/>
                <w:rFonts w:hint="eastAsia" w:ascii="宋体" w:hAnsi="宋体" w:eastAsia="宋体" w:cs="宋体"/>
              </w:rPr>
              <w:t>16334</w:t>
            </w:r>
            <w:r>
              <w:rPr>
                <w:rStyle w:val="31"/>
                <w:rFonts w:hint="default"/>
              </w:rPr>
              <w:t>平方米，班级规模为</w:t>
            </w:r>
            <w:r>
              <w:rPr>
                <w:rStyle w:val="30"/>
                <w:rFonts w:hint="eastAsia" w:ascii="宋体" w:hAnsi="宋体" w:eastAsia="宋体" w:cs="宋体"/>
              </w:rPr>
              <w:t xml:space="preserve"> 24 </w:t>
            </w:r>
            <w:r>
              <w:rPr>
                <w:rStyle w:val="31"/>
                <w:rFonts w:hint="default"/>
              </w:rPr>
              <w:t>个。</w:t>
            </w:r>
          </w:p>
        </w:tc>
        <w:tc>
          <w:tcPr>
            <w:tcW w:w="13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rPr>
            </w:pPr>
            <w:r>
              <w:rPr>
                <w:rFonts w:hint="eastAsia" w:ascii="宋体" w:hAnsi="宋体" w:eastAsia="宋体" w:cs="宋体"/>
                <w:color w:val="000000"/>
              </w:rPr>
              <w:t>1.2</w:t>
            </w:r>
          </w:p>
        </w:tc>
        <w:tc>
          <w:tcPr>
            <w:tcW w:w="2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rPr>
            </w:pPr>
            <w:r>
              <w:rPr>
                <w:rFonts w:hint="eastAsia" w:ascii="宋体" w:hAnsi="宋体" w:eastAsia="宋体" w:cs="宋体"/>
                <w:color w:val="000000"/>
              </w:rPr>
              <w:t>0.2</w:t>
            </w:r>
          </w:p>
        </w:tc>
        <w:tc>
          <w:tcPr>
            <w:tcW w:w="14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rPr>
            </w:pPr>
            <w:r>
              <w:rPr>
                <w:rFonts w:hint="eastAsia" w:ascii="宋体" w:hAnsi="宋体" w:eastAsia="宋体" w:cs="宋体"/>
                <w:color w:val="000000"/>
              </w:rPr>
              <w:t>840</w:t>
            </w:r>
          </w:p>
        </w:tc>
        <w:tc>
          <w:tcPr>
            <w:tcW w:w="1484"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jc w:val="center"/>
              <w:textAlignment w:val="center"/>
              <w:rPr>
                <w:rFonts w:ascii="宋体" w:hAnsi="宋体" w:eastAsia="宋体" w:cs="宋体"/>
                <w:color w:val="000000"/>
              </w:rPr>
            </w:pPr>
            <w:r>
              <w:rPr>
                <w:rFonts w:hint="eastAsia" w:ascii="宋体" w:hAnsi="宋体" w:eastAsia="宋体" w:cs="宋体"/>
                <w:color w:val="000000"/>
              </w:rPr>
              <w:t>1080</w:t>
            </w:r>
          </w:p>
        </w:tc>
      </w:tr>
      <w:tr>
        <w:tblPrEx>
          <w:tblCellMar>
            <w:top w:w="0" w:type="dxa"/>
            <w:left w:w="108" w:type="dxa"/>
            <w:bottom w:w="0" w:type="dxa"/>
            <w:right w:w="108" w:type="dxa"/>
          </w:tblCellMar>
        </w:tblPrEx>
        <w:trPr>
          <w:trHeight w:val="340" w:hRule="atLeast"/>
        </w:trPr>
        <w:tc>
          <w:tcPr>
            <w:tcW w:w="581"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rPr>
            </w:pPr>
            <w:r>
              <w:rPr>
                <w:rFonts w:hint="eastAsia" w:ascii="宋体" w:hAnsi="宋体" w:eastAsia="宋体" w:cs="宋体"/>
                <w:color w:val="000000"/>
              </w:rPr>
              <w:t>2</w:t>
            </w:r>
          </w:p>
        </w:tc>
        <w:tc>
          <w:tcPr>
            <w:tcW w:w="2138" w:type="dxa"/>
            <w:tcBorders>
              <w:top w:val="single" w:color="000000" w:sz="4" w:space="0"/>
              <w:left w:val="single" w:color="000000" w:sz="4" w:space="0"/>
              <w:bottom w:val="single" w:color="000000" w:sz="4" w:space="0"/>
              <w:right w:val="single" w:color="000000" w:sz="4" w:space="0"/>
            </w:tcBorders>
            <w:shd w:val="clear" w:color="auto" w:fill="auto"/>
          </w:tcPr>
          <w:p>
            <w:pPr>
              <w:textAlignment w:val="top"/>
              <w:rPr>
                <w:rFonts w:ascii="宋体" w:hAnsi="宋体" w:eastAsia="宋体" w:cs="宋体"/>
                <w:color w:val="000000"/>
              </w:rPr>
            </w:pPr>
            <w:r>
              <w:rPr>
                <w:rFonts w:hint="eastAsia" w:ascii="宋体" w:hAnsi="宋体" w:eastAsia="宋体" w:cs="宋体"/>
                <w:color w:val="000000"/>
              </w:rPr>
              <w:t>温州市城南小学会昌河校区</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000000"/>
              </w:rPr>
            </w:pPr>
            <w:r>
              <w:rPr>
                <w:rFonts w:hint="eastAsia" w:ascii="宋体" w:hAnsi="宋体" w:eastAsia="宋体" w:cs="宋体"/>
                <w:color w:val="000000"/>
              </w:rPr>
              <w:t>续建</w:t>
            </w:r>
          </w:p>
        </w:tc>
        <w:tc>
          <w:tcPr>
            <w:tcW w:w="13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000000"/>
              </w:rPr>
            </w:pPr>
            <w:r>
              <w:rPr>
                <w:rFonts w:hint="eastAsia" w:ascii="宋体" w:hAnsi="宋体" w:eastAsia="宋体" w:cs="宋体"/>
                <w:color w:val="000000"/>
              </w:rPr>
              <w:t>2018</w:t>
            </w:r>
          </w:p>
          <w:p>
            <w:pPr>
              <w:jc w:val="center"/>
              <w:textAlignment w:val="center"/>
              <w:rPr>
                <w:rFonts w:ascii="宋体" w:hAnsi="宋体" w:eastAsia="宋体" w:cs="宋体"/>
                <w:color w:val="000000"/>
              </w:rPr>
            </w:pPr>
            <w:r>
              <w:rPr>
                <w:rFonts w:hint="eastAsia" w:ascii="宋体" w:hAnsi="宋体" w:eastAsia="宋体" w:cs="宋体"/>
                <w:color w:val="000000"/>
              </w:rPr>
              <w:t>-2022</w:t>
            </w:r>
          </w:p>
        </w:tc>
        <w:tc>
          <w:tcPr>
            <w:tcW w:w="3375" w:type="dxa"/>
            <w:tcBorders>
              <w:top w:val="single" w:color="000000" w:sz="4" w:space="0"/>
              <w:left w:val="single" w:color="000000" w:sz="4" w:space="0"/>
              <w:bottom w:val="single" w:color="000000" w:sz="4" w:space="0"/>
              <w:right w:val="single" w:color="000000" w:sz="4" w:space="0"/>
            </w:tcBorders>
            <w:shd w:val="clear" w:color="auto" w:fill="auto"/>
          </w:tcPr>
          <w:p>
            <w:pPr>
              <w:textAlignment w:val="top"/>
              <w:rPr>
                <w:rFonts w:ascii="宋体" w:hAnsi="宋体" w:eastAsia="宋体" w:cs="宋体"/>
                <w:color w:val="000000"/>
              </w:rPr>
            </w:pPr>
            <w:r>
              <w:rPr>
                <w:rFonts w:hint="eastAsia" w:ascii="宋体" w:hAnsi="宋体" w:eastAsia="宋体" w:cs="宋体"/>
                <w:color w:val="000000"/>
              </w:rPr>
              <w:t>项目用地面积</w:t>
            </w:r>
            <w:r>
              <w:rPr>
                <w:rStyle w:val="30"/>
                <w:rFonts w:hint="eastAsia" w:ascii="宋体" w:hAnsi="宋体" w:eastAsia="宋体" w:cs="宋体"/>
              </w:rPr>
              <w:t>25000</w:t>
            </w:r>
            <w:r>
              <w:rPr>
                <w:rStyle w:val="31"/>
                <w:rFonts w:hint="default"/>
              </w:rPr>
              <w:t>平方米，总建筑面积</w:t>
            </w:r>
            <w:r>
              <w:rPr>
                <w:rStyle w:val="30"/>
                <w:rFonts w:hint="eastAsia" w:ascii="宋体" w:hAnsi="宋体" w:eastAsia="宋体" w:cs="宋体"/>
              </w:rPr>
              <w:t>12870</w:t>
            </w:r>
            <w:r>
              <w:rPr>
                <w:rStyle w:val="31"/>
                <w:rFonts w:hint="default"/>
              </w:rPr>
              <w:t>平方米，班级规模为</w:t>
            </w:r>
            <w:r>
              <w:rPr>
                <w:rStyle w:val="30"/>
                <w:rFonts w:hint="eastAsia" w:ascii="宋体" w:hAnsi="宋体" w:eastAsia="宋体" w:cs="宋体"/>
              </w:rPr>
              <w:t xml:space="preserve"> 12 </w:t>
            </w:r>
            <w:r>
              <w:rPr>
                <w:rStyle w:val="31"/>
                <w:rFonts w:hint="default"/>
              </w:rPr>
              <w:t>个。</w:t>
            </w:r>
          </w:p>
        </w:tc>
        <w:tc>
          <w:tcPr>
            <w:tcW w:w="13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rPr>
            </w:pPr>
            <w:r>
              <w:rPr>
                <w:rFonts w:hint="eastAsia" w:ascii="宋体" w:hAnsi="宋体" w:eastAsia="宋体" w:cs="宋体"/>
                <w:color w:val="000000"/>
              </w:rPr>
              <w:t>0.84</w:t>
            </w:r>
          </w:p>
        </w:tc>
        <w:tc>
          <w:tcPr>
            <w:tcW w:w="2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rPr>
            </w:pPr>
            <w:r>
              <w:rPr>
                <w:rFonts w:hint="eastAsia" w:ascii="宋体" w:hAnsi="宋体" w:eastAsia="宋体" w:cs="宋体"/>
                <w:color w:val="000000"/>
              </w:rPr>
              <w:t>0.2</w:t>
            </w:r>
          </w:p>
        </w:tc>
        <w:tc>
          <w:tcPr>
            <w:tcW w:w="14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rPr>
            </w:pPr>
            <w:r>
              <w:rPr>
                <w:rFonts w:hint="eastAsia" w:ascii="宋体" w:hAnsi="宋体" w:eastAsia="宋体" w:cs="宋体"/>
                <w:color w:val="000000"/>
              </w:rPr>
              <w:t>420</w:t>
            </w:r>
          </w:p>
        </w:tc>
        <w:tc>
          <w:tcPr>
            <w:tcW w:w="1484"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jc w:val="center"/>
              <w:textAlignment w:val="center"/>
              <w:rPr>
                <w:rFonts w:ascii="宋体" w:hAnsi="宋体" w:eastAsia="宋体" w:cs="宋体"/>
                <w:color w:val="000000"/>
              </w:rPr>
            </w:pPr>
            <w:r>
              <w:rPr>
                <w:rFonts w:hint="eastAsia" w:ascii="宋体" w:hAnsi="宋体" w:eastAsia="宋体" w:cs="宋体"/>
                <w:color w:val="000000"/>
              </w:rPr>
              <w:t>420</w:t>
            </w:r>
          </w:p>
        </w:tc>
      </w:tr>
      <w:tr>
        <w:tblPrEx>
          <w:tblCellMar>
            <w:top w:w="0" w:type="dxa"/>
            <w:left w:w="108" w:type="dxa"/>
            <w:bottom w:w="0" w:type="dxa"/>
            <w:right w:w="108" w:type="dxa"/>
          </w:tblCellMar>
        </w:tblPrEx>
        <w:trPr>
          <w:trHeight w:val="340" w:hRule="atLeast"/>
        </w:trPr>
        <w:tc>
          <w:tcPr>
            <w:tcW w:w="581"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rPr>
            </w:pPr>
            <w:r>
              <w:rPr>
                <w:rFonts w:hint="eastAsia" w:ascii="宋体" w:hAnsi="宋体" w:eastAsia="宋体" w:cs="宋体"/>
                <w:color w:val="000000"/>
              </w:rPr>
              <w:t>3</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color w:val="000000"/>
              </w:rPr>
            </w:pPr>
            <w:r>
              <w:rPr>
                <w:rFonts w:hint="eastAsia" w:ascii="宋体" w:hAnsi="宋体" w:eastAsia="宋体" w:cs="宋体"/>
                <w:color w:val="000000"/>
              </w:rPr>
              <w:t>五星小学</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000000"/>
              </w:rPr>
            </w:pPr>
            <w:r>
              <w:rPr>
                <w:rFonts w:hint="eastAsia" w:ascii="宋体" w:hAnsi="宋体" w:eastAsia="宋体" w:cs="宋体"/>
                <w:color w:val="000000"/>
              </w:rPr>
              <w:t>续建</w:t>
            </w:r>
          </w:p>
        </w:tc>
        <w:tc>
          <w:tcPr>
            <w:tcW w:w="13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000000"/>
              </w:rPr>
            </w:pPr>
            <w:r>
              <w:rPr>
                <w:rFonts w:hint="eastAsia" w:ascii="宋体" w:hAnsi="宋体" w:eastAsia="宋体" w:cs="宋体"/>
                <w:color w:val="000000"/>
              </w:rPr>
              <w:t>2019</w:t>
            </w:r>
          </w:p>
          <w:p>
            <w:pPr>
              <w:jc w:val="center"/>
              <w:textAlignment w:val="center"/>
              <w:rPr>
                <w:rFonts w:ascii="宋体" w:hAnsi="宋体" w:eastAsia="宋体" w:cs="宋体"/>
                <w:color w:val="000000"/>
              </w:rPr>
            </w:pPr>
            <w:r>
              <w:rPr>
                <w:rFonts w:hint="eastAsia" w:ascii="宋体" w:hAnsi="宋体" w:eastAsia="宋体" w:cs="宋体"/>
                <w:color w:val="000000"/>
              </w:rPr>
              <w:t>-2021</w:t>
            </w:r>
          </w:p>
        </w:tc>
        <w:tc>
          <w:tcPr>
            <w:tcW w:w="3375" w:type="dxa"/>
            <w:tcBorders>
              <w:top w:val="single" w:color="000000" w:sz="4" w:space="0"/>
              <w:left w:val="single" w:color="000000" w:sz="4" w:space="0"/>
              <w:bottom w:val="single" w:color="000000" w:sz="4" w:space="0"/>
              <w:right w:val="single" w:color="000000" w:sz="4" w:space="0"/>
            </w:tcBorders>
            <w:shd w:val="clear" w:color="auto" w:fill="auto"/>
          </w:tcPr>
          <w:p>
            <w:pPr>
              <w:textAlignment w:val="top"/>
              <w:rPr>
                <w:rFonts w:ascii="宋体" w:hAnsi="宋体" w:eastAsia="宋体" w:cs="宋体"/>
                <w:color w:val="000000"/>
              </w:rPr>
            </w:pPr>
            <w:r>
              <w:rPr>
                <w:rFonts w:hint="eastAsia" w:ascii="宋体" w:hAnsi="宋体" w:eastAsia="宋体" w:cs="宋体"/>
                <w:color w:val="000000"/>
              </w:rPr>
              <w:t>项目用地面积</w:t>
            </w:r>
            <w:r>
              <w:rPr>
                <w:rStyle w:val="31"/>
                <w:rFonts w:hint="default"/>
              </w:rPr>
              <w:t>12000平方米，总建筑面积</w:t>
            </w:r>
            <w:r>
              <w:rPr>
                <w:rStyle w:val="30"/>
                <w:rFonts w:hint="eastAsia" w:ascii="宋体" w:hAnsi="宋体" w:eastAsia="宋体" w:cs="宋体"/>
              </w:rPr>
              <w:t>12030.98</w:t>
            </w:r>
            <w:r>
              <w:rPr>
                <w:rStyle w:val="31"/>
                <w:rFonts w:hint="default"/>
              </w:rPr>
              <w:t>平方米，其中地上面积</w:t>
            </w:r>
            <w:r>
              <w:rPr>
                <w:rStyle w:val="30"/>
                <w:rFonts w:hint="eastAsia" w:ascii="宋体" w:hAnsi="宋体" w:eastAsia="宋体" w:cs="宋体"/>
              </w:rPr>
              <w:t>9165.98</w:t>
            </w:r>
            <w:r>
              <w:rPr>
                <w:rStyle w:val="31"/>
                <w:rFonts w:hint="default"/>
              </w:rPr>
              <w:t>平方米，地下室面积</w:t>
            </w:r>
            <w:r>
              <w:rPr>
                <w:rStyle w:val="30"/>
                <w:rFonts w:hint="eastAsia" w:ascii="宋体" w:hAnsi="宋体" w:eastAsia="宋体" w:cs="宋体"/>
              </w:rPr>
              <w:t>2865</w:t>
            </w:r>
            <w:r>
              <w:rPr>
                <w:rStyle w:val="31"/>
                <w:rFonts w:hint="default"/>
              </w:rPr>
              <w:t>平方米，班级规模为</w:t>
            </w:r>
            <w:r>
              <w:rPr>
                <w:rStyle w:val="30"/>
                <w:rFonts w:hint="eastAsia" w:ascii="宋体" w:hAnsi="宋体" w:eastAsia="宋体" w:cs="宋体"/>
              </w:rPr>
              <w:t xml:space="preserve"> 18 </w:t>
            </w:r>
            <w:r>
              <w:rPr>
                <w:rStyle w:val="31"/>
                <w:rFonts w:hint="default"/>
              </w:rPr>
              <w:t>个。</w:t>
            </w:r>
          </w:p>
        </w:tc>
        <w:tc>
          <w:tcPr>
            <w:tcW w:w="13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rPr>
            </w:pPr>
            <w:r>
              <w:rPr>
                <w:rFonts w:hint="eastAsia" w:ascii="宋体" w:hAnsi="宋体" w:eastAsia="宋体" w:cs="宋体"/>
                <w:color w:val="000000"/>
              </w:rPr>
              <w:t>0.9</w:t>
            </w:r>
          </w:p>
        </w:tc>
        <w:tc>
          <w:tcPr>
            <w:tcW w:w="2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rPr>
            </w:pPr>
            <w:r>
              <w:rPr>
                <w:rFonts w:hint="eastAsia" w:ascii="宋体" w:hAnsi="宋体" w:eastAsia="宋体" w:cs="宋体"/>
                <w:color w:val="000000"/>
              </w:rPr>
              <w:t>0.04</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000000"/>
              </w:rPr>
            </w:pPr>
            <w:r>
              <w:rPr>
                <w:rFonts w:hint="eastAsia" w:ascii="宋体" w:hAnsi="宋体" w:eastAsia="宋体" w:cs="宋体"/>
                <w:color w:val="000000"/>
              </w:rPr>
              <w:t>810</w:t>
            </w:r>
          </w:p>
        </w:tc>
        <w:tc>
          <w:tcPr>
            <w:tcW w:w="1484"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textAlignment w:val="center"/>
              <w:rPr>
                <w:rFonts w:ascii="宋体" w:hAnsi="宋体" w:eastAsia="宋体" w:cs="宋体"/>
                <w:color w:val="000000"/>
              </w:rPr>
            </w:pPr>
            <w:r>
              <w:rPr>
                <w:rFonts w:hint="eastAsia" w:ascii="宋体" w:hAnsi="宋体" w:eastAsia="宋体" w:cs="宋体"/>
                <w:color w:val="000000"/>
              </w:rPr>
              <w:t>315</w:t>
            </w:r>
          </w:p>
        </w:tc>
      </w:tr>
      <w:tr>
        <w:tblPrEx>
          <w:tblCellMar>
            <w:top w:w="0" w:type="dxa"/>
            <w:left w:w="108" w:type="dxa"/>
            <w:bottom w:w="0" w:type="dxa"/>
            <w:right w:w="108" w:type="dxa"/>
          </w:tblCellMar>
        </w:tblPrEx>
        <w:trPr>
          <w:trHeight w:val="340" w:hRule="atLeast"/>
        </w:trPr>
        <w:tc>
          <w:tcPr>
            <w:tcW w:w="581"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rPr>
            </w:pPr>
            <w:r>
              <w:rPr>
                <w:rFonts w:hint="eastAsia" w:ascii="宋体" w:hAnsi="宋体" w:eastAsia="宋体" w:cs="宋体"/>
                <w:color w:val="000000"/>
              </w:rPr>
              <w:t>4</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color w:val="000000"/>
              </w:rPr>
            </w:pPr>
            <w:r>
              <w:rPr>
                <w:rFonts w:hint="eastAsia" w:ascii="宋体" w:hAnsi="宋体" w:eastAsia="宋体" w:cs="宋体"/>
                <w:color w:val="000000"/>
              </w:rPr>
              <w:t>温州市实验小学（滨江商务区桃花岛T04-10地块）</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000000"/>
              </w:rPr>
            </w:pPr>
            <w:r>
              <w:rPr>
                <w:rFonts w:hint="eastAsia" w:ascii="宋体" w:hAnsi="宋体" w:eastAsia="宋体" w:cs="宋体"/>
                <w:color w:val="000000"/>
              </w:rPr>
              <w:t>续建</w:t>
            </w:r>
          </w:p>
        </w:tc>
        <w:tc>
          <w:tcPr>
            <w:tcW w:w="13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000000"/>
              </w:rPr>
            </w:pPr>
            <w:r>
              <w:rPr>
                <w:rFonts w:hint="eastAsia" w:ascii="宋体" w:hAnsi="宋体" w:eastAsia="宋体" w:cs="宋体"/>
                <w:color w:val="000000"/>
              </w:rPr>
              <w:t>2019</w:t>
            </w:r>
          </w:p>
          <w:p>
            <w:pPr>
              <w:jc w:val="center"/>
              <w:textAlignment w:val="center"/>
              <w:rPr>
                <w:rFonts w:ascii="宋体" w:hAnsi="宋体" w:eastAsia="宋体" w:cs="宋体"/>
                <w:color w:val="000000"/>
              </w:rPr>
            </w:pPr>
            <w:r>
              <w:rPr>
                <w:rFonts w:hint="eastAsia" w:ascii="宋体" w:hAnsi="宋体" w:eastAsia="宋体" w:cs="宋体"/>
                <w:color w:val="000000"/>
              </w:rPr>
              <w:t>-2022</w:t>
            </w:r>
          </w:p>
        </w:tc>
        <w:tc>
          <w:tcPr>
            <w:tcW w:w="3375" w:type="dxa"/>
            <w:tcBorders>
              <w:top w:val="single" w:color="000000" w:sz="4" w:space="0"/>
              <w:left w:val="single" w:color="000000" w:sz="4" w:space="0"/>
              <w:bottom w:val="single" w:color="000000" w:sz="4" w:space="0"/>
              <w:right w:val="single" w:color="000000" w:sz="4" w:space="0"/>
            </w:tcBorders>
            <w:shd w:val="clear" w:color="auto" w:fill="auto"/>
          </w:tcPr>
          <w:p>
            <w:pPr>
              <w:textAlignment w:val="top"/>
              <w:rPr>
                <w:rFonts w:ascii="宋体" w:hAnsi="宋体" w:eastAsia="宋体" w:cs="宋体"/>
                <w:color w:val="000000"/>
              </w:rPr>
            </w:pPr>
            <w:r>
              <w:rPr>
                <w:rFonts w:hint="eastAsia" w:ascii="宋体" w:hAnsi="宋体" w:eastAsia="宋体" w:cs="宋体"/>
                <w:color w:val="000000"/>
              </w:rPr>
              <w:t>项目用地面积</w:t>
            </w:r>
            <w:r>
              <w:rPr>
                <w:rStyle w:val="30"/>
                <w:rFonts w:hint="eastAsia" w:ascii="宋体" w:hAnsi="宋体" w:eastAsia="宋体" w:cs="宋体"/>
              </w:rPr>
              <w:t>31517</w:t>
            </w:r>
            <w:r>
              <w:rPr>
                <w:rStyle w:val="31"/>
                <w:rFonts w:hint="default"/>
              </w:rPr>
              <w:t>平方米，</w:t>
            </w:r>
            <w:r>
              <w:rPr>
                <w:rStyle w:val="31"/>
              </w:rPr>
              <w:t>其中</w:t>
            </w:r>
            <w:r>
              <w:rPr>
                <w:rStyle w:val="31"/>
                <w:rFonts w:hint="default"/>
              </w:rPr>
              <w:t>地上建筑面积</w:t>
            </w:r>
            <w:r>
              <w:rPr>
                <w:rStyle w:val="30"/>
                <w:rFonts w:hint="eastAsia" w:ascii="宋体" w:hAnsi="宋体" w:eastAsia="宋体" w:cs="宋体"/>
              </w:rPr>
              <w:t>24805</w:t>
            </w:r>
            <w:r>
              <w:rPr>
                <w:rStyle w:val="31"/>
                <w:rFonts w:hint="default"/>
              </w:rPr>
              <w:t>平方米，地下建筑面积11279平方米，班级规模为</w:t>
            </w:r>
            <w:r>
              <w:rPr>
                <w:rStyle w:val="30"/>
                <w:rFonts w:hint="eastAsia" w:ascii="宋体" w:hAnsi="宋体" w:eastAsia="宋体" w:cs="宋体"/>
              </w:rPr>
              <w:t xml:space="preserve"> 36 </w:t>
            </w:r>
            <w:r>
              <w:rPr>
                <w:rStyle w:val="31"/>
                <w:rFonts w:hint="default"/>
              </w:rPr>
              <w:t>个。</w:t>
            </w:r>
          </w:p>
        </w:tc>
        <w:tc>
          <w:tcPr>
            <w:tcW w:w="13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rPr>
            </w:pPr>
            <w:r>
              <w:rPr>
                <w:rFonts w:hint="eastAsia" w:ascii="宋体" w:hAnsi="宋体" w:eastAsia="宋体" w:cs="宋体"/>
                <w:color w:val="000000"/>
              </w:rPr>
              <w:t>2.5</w:t>
            </w:r>
          </w:p>
        </w:tc>
        <w:tc>
          <w:tcPr>
            <w:tcW w:w="2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rPr>
            </w:pPr>
            <w:r>
              <w:rPr>
                <w:rFonts w:hint="eastAsia" w:ascii="宋体" w:hAnsi="宋体" w:eastAsia="宋体" w:cs="宋体"/>
                <w:color w:val="000000"/>
              </w:rPr>
              <w:t>1.5</w:t>
            </w:r>
          </w:p>
        </w:tc>
        <w:tc>
          <w:tcPr>
            <w:tcW w:w="14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rPr>
            </w:pPr>
            <w:r>
              <w:rPr>
                <w:rFonts w:hint="eastAsia" w:ascii="宋体" w:hAnsi="宋体" w:eastAsia="宋体" w:cs="宋体"/>
                <w:color w:val="000000"/>
              </w:rPr>
              <w:t>1620</w:t>
            </w:r>
          </w:p>
        </w:tc>
        <w:tc>
          <w:tcPr>
            <w:tcW w:w="1484"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jc w:val="center"/>
              <w:textAlignment w:val="center"/>
              <w:rPr>
                <w:rFonts w:ascii="宋体" w:hAnsi="宋体" w:eastAsia="宋体" w:cs="宋体"/>
                <w:color w:val="000000"/>
              </w:rPr>
            </w:pPr>
            <w:r>
              <w:rPr>
                <w:rFonts w:hint="eastAsia" w:ascii="宋体" w:hAnsi="宋体" w:eastAsia="宋体" w:cs="宋体"/>
                <w:color w:val="000000"/>
              </w:rPr>
              <w:t>1620</w:t>
            </w:r>
          </w:p>
        </w:tc>
      </w:tr>
      <w:tr>
        <w:tblPrEx>
          <w:tblCellMar>
            <w:top w:w="0" w:type="dxa"/>
            <w:left w:w="108" w:type="dxa"/>
            <w:bottom w:w="0" w:type="dxa"/>
            <w:right w:w="108" w:type="dxa"/>
          </w:tblCellMar>
        </w:tblPrEx>
        <w:trPr>
          <w:trHeight w:val="320" w:hRule="atLeast"/>
        </w:trPr>
        <w:tc>
          <w:tcPr>
            <w:tcW w:w="581"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rPr>
            </w:pPr>
            <w:r>
              <w:rPr>
                <w:rFonts w:hint="eastAsia" w:ascii="宋体" w:hAnsi="宋体" w:eastAsia="宋体" w:cs="宋体"/>
                <w:color w:val="000000"/>
              </w:rPr>
              <w:t>5</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color w:val="000000"/>
              </w:rPr>
            </w:pPr>
            <w:r>
              <w:rPr>
                <w:rFonts w:hint="eastAsia" w:ascii="宋体" w:hAnsi="宋体" w:eastAsia="宋体" w:cs="宋体"/>
                <w:color w:val="000000"/>
              </w:rPr>
              <w:t>中央绿轴G-24b-2地块小学工程</w:t>
            </w:r>
            <w:r>
              <w:rPr>
                <w:rStyle w:val="31"/>
                <w:rFonts w:hint="default"/>
              </w:rPr>
              <w:t>（暂名）</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000000"/>
              </w:rPr>
            </w:pPr>
            <w:r>
              <w:rPr>
                <w:rFonts w:hint="eastAsia" w:ascii="宋体" w:hAnsi="宋体" w:eastAsia="宋体" w:cs="宋体"/>
                <w:color w:val="000000"/>
              </w:rPr>
              <w:t>续建</w:t>
            </w:r>
          </w:p>
        </w:tc>
        <w:tc>
          <w:tcPr>
            <w:tcW w:w="13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000000"/>
              </w:rPr>
            </w:pPr>
            <w:r>
              <w:rPr>
                <w:rFonts w:hint="eastAsia" w:ascii="宋体" w:hAnsi="宋体" w:eastAsia="宋体" w:cs="宋体"/>
                <w:color w:val="000000"/>
              </w:rPr>
              <w:t>2019</w:t>
            </w:r>
          </w:p>
          <w:p>
            <w:pPr>
              <w:jc w:val="center"/>
              <w:textAlignment w:val="center"/>
              <w:rPr>
                <w:rFonts w:ascii="宋体" w:hAnsi="宋体" w:eastAsia="宋体" w:cs="宋体"/>
                <w:color w:val="000000"/>
              </w:rPr>
            </w:pPr>
            <w:r>
              <w:rPr>
                <w:rFonts w:hint="eastAsia" w:ascii="宋体" w:hAnsi="宋体" w:eastAsia="宋体" w:cs="宋体"/>
                <w:color w:val="000000"/>
              </w:rPr>
              <w:t>-2022</w:t>
            </w:r>
          </w:p>
        </w:tc>
        <w:tc>
          <w:tcPr>
            <w:tcW w:w="3375" w:type="dxa"/>
            <w:tcBorders>
              <w:top w:val="single" w:color="000000" w:sz="4" w:space="0"/>
              <w:left w:val="single" w:color="000000" w:sz="4" w:space="0"/>
              <w:bottom w:val="single" w:color="000000" w:sz="4" w:space="0"/>
              <w:right w:val="single" w:color="000000" w:sz="4" w:space="0"/>
            </w:tcBorders>
            <w:shd w:val="clear" w:color="auto" w:fill="auto"/>
          </w:tcPr>
          <w:p>
            <w:pPr>
              <w:textAlignment w:val="top"/>
              <w:rPr>
                <w:rFonts w:ascii="宋体" w:hAnsi="宋体" w:eastAsia="宋体" w:cs="宋体"/>
                <w:color w:val="000000"/>
              </w:rPr>
            </w:pPr>
            <w:r>
              <w:rPr>
                <w:rFonts w:hint="eastAsia" w:ascii="宋体" w:hAnsi="宋体" w:eastAsia="宋体" w:cs="宋体"/>
                <w:color w:val="000000"/>
              </w:rPr>
              <w:t>项目用地面积</w:t>
            </w:r>
            <w:r>
              <w:rPr>
                <w:rStyle w:val="30"/>
                <w:rFonts w:hint="eastAsia" w:ascii="宋体" w:hAnsi="宋体" w:eastAsia="宋体" w:cs="宋体"/>
              </w:rPr>
              <w:t>25125</w:t>
            </w:r>
            <w:r>
              <w:rPr>
                <w:rStyle w:val="31"/>
                <w:rFonts w:hint="default"/>
              </w:rPr>
              <w:t>平方米，</w:t>
            </w:r>
            <w:r>
              <w:rPr>
                <w:rStyle w:val="31"/>
              </w:rPr>
              <w:t>其中</w:t>
            </w:r>
            <w:r>
              <w:rPr>
                <w:rStyle w:val="31"/>
                <w:rFonts w:hint="default"/>
              </w:rPr>
              <w:t>地上建筑面积</w:t>
            </w:r>
            <w:r>
              <w:rPr>
                <w:rStyle w:val="30"/>
                <w:rFonts w:hint="eastAsia" w:ascii="宋体" w:hAnsi="宋体" w:eastAsia="宋体" w:cs="宋体"/>
              </w:rPr>
              <w:t>19348</w:t>
            </w:r>
            <w:r>
              <w:rPr>
                <w:rStyle w:val="31"/>
                <w:rFonts w:hint="default"/>
              </w:rPr>
              <w:t>平方米，地下建筑面积6790平方米，班级规模为</w:t>
            </w:r>
            <w:r>
              <w:rPr>
                <w:rStyle w:val="30"/>
                <w:rFonts w:hint="eastAsia" w:ascii="宋体" w:hAnsi="宋体" w:eastAsia="宋体" w:cs="宋体"/>
              </w:rPr>
              <w:t xml:space="preserve"> 36 </w:t>
            </w:r>
            <w:r>
              <w:rPr>
                <w:rStyle w:val="31"/>
                <w:rFonts w:hint="default"/>
              </w:rPr>
              <w:t>个。</w:t>
            </w:r>
          </w:p>
        </w:tc>
        <w:tc>
          <w:tcPr>
            <w:tcW w:w="13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rPr>
            </w:pPr>
            <w:r>
              <w:rPr>
                <w:rFonts w:hint="eastAsia" w:ascii="宋体" w:hAnsi="宋体" w:eastAsia="宋体" w:cs="宋体"/>
                <w:color w:val="000000"/>
              </w:rPr>
              <w:t>1.65</w:t>
            </w:r>
          </w:p>
        </w:tc>
        <w:tc>
          <w:tcPr>
            <w:tcW w:w="2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rPr>
            </w:pPr>
            <w:r>
              <w:rPr>
                <w:rFonts w:hint="eastAsia" w:ascii="宋体" w:hAnsi="宋体" w:eastAsia="宋体" w:cs="宋体"/>
                <w:color w:val="000000"/>
              </w:rPr>
              <w:t>1.3</w:t>
            </w:r>
          </w:p>
        </w:tc>
        <w:tc>
          <w:tcPr>
            <w:tcW w:w="14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rPr>
            </w:pPr>
            <w:r>
              <w:rPr>
                <w:rFonts w:hint="eastAsia" w:ascii="宋体" w:hAnsi="宋体" w:eastAsia="宋体" w:cs="宋体"/>
                <w:color w:val="000000"/>
              </w:rPr>
              <w:t>1620</w:t>
            </w:r>
          </w:p>
        </w:tc>
        <w:tc>
          <w:tcPr>
            <w:tcW w:w="1484"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jc w:val="center"/>
              <w:textAlignment w:val="center"/>
              <w:rPr>
                <w:rFonts w:ascii="宋体" w:hAnsi="宋体" w:eastAsia="宋体" w:cs="宋体"/>
                <w:color w:val="000000"/>
              </w:rPr>
            </w:pPr>
            <w:r>
              <w:rPr>
                <w:rFonts w:hint="eastAsia" w:ascii="宋体" w:hAnsi="宋体" w:eastAsia="宋体" w:cs="宋体"/>
                <w:color w:val="000000"/>
              </w:rPr>
              <w:t>1620</w:t>
            </w:r>
          </w:p>
        </w:tc>
      </w:tr>
      <w:tr>
        <w:tblPrEx>
          <w:tblCellMar>
            <w:top w:w="0" w:type="dxa"/>
            <w:left w:w="108" w:type="dxa"/>
            <w:bottom w:w="0" w:type="dxa"/>
            <w:right w:w="108" w:type="dxa"/>
          </w:tblCellMar>
        </w:tblPrEx>
        <w:trPr>
          <w:trHeight w:val="600" w:hRule="atLeast"/>
        </w:trPr>
        <w:tc>
          <w:tcPr>
            <w:tcW w:w="581"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rPr>
            </w:pPr>
            <w:r>
              <w:rPr>
                <w:rFonts w:hint="eastAsia" w:ascii="宋体" w:hAnsi="宋体" w:eastAsia="宋体" w:cs="宋体"/>
                <w:color w:val="000000"/>
              </w:rPr>
              <w:t>6</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color w:val="000000"/>
              </w:rPr>
            </w:pPr>
            <w:r>
              <w:rPr>
                <w:rFonts w:hint="eastAsia" w:ascii="宋体" w:hAnsi="宋体" w:eastAsia="宋体" w:cs="宋体"/>
                <w:color w:val="000000"/>
              </w:rPr>
              <w:t>温州市七都片区北单元</w:t>
            </w:r>
            <w:r>
              <w:rPr>
                <w:rStyle w:val="30"/>
                <w:rFonts w:hint="eastAsia" w:ascii="宋体" w:hAnsi="宋体" w:eastAsia="宋体" w:cs="宋体"/>
              </w:rPr>
              <w:t xml:space="preserve">03-C-13 </w:t>
            </w:r>
            <w:r>
              <w:rPr>
                <w:rStyle w:val="31"/>
                <w:rFonts w:hint="default"/>
              </w:rPr>
              <w:t>地块小学建设工程（温州市建设小学七都分校）</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000000"/>
              </w:rPr>
            </w:pPr>
            <w:r>
              <w:rPr>
                <w:rFonts w:hint="eastAsia" w:ascii="宋体" w:hAnsi="宋体" w:eastAsia="宋体" w:cs="宋体"/>
                <w:color w:val="000000"/>
              </w:rPr>
              <w:t>续建</w:t>
            </w:r>
          </w:p>
        </w:tc>
        <w:tc>
          <w:tcPr>
            <w:tcW w:w="13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000000"/>
              </w:rPr>
            </w:pPr>
            <w:r>
              <w:rPr>
                <w:rFonts w:hint="eastAsia" w:ascii="宋体" w:hAnsi="宋体" w:eastAsia="宋体" w:cs="宋体"/>
                <w:color w:val="000000"/>
              </w:rPr>
              <w:t>2020</w:t>
            </w:r>
          </w:p>
          <w:p>
            <w:pPr>
              <w:jc w:val="center"/>
              <w:textAlignment w:val="center"/>
              <w:rPr>
                <w:rFonts w:ascii="宋体" w:hAnsi="宋体" w:eastAsia="宋体" w:cs="宋体"/>
                <w:color w:val="000000"/>
              </w:rPr>
            </w:pPr>
            <w:r>
              <w:rPr>
                <w:rFonts w:hint="eastAsia" w:ascii="宋体" w:hAnsi="宋体" w:eastAsia="宋体" w:cs="宋体"/>
                <w:color w:val="000000"/>
              </w:rPr>
              <w:t>-2022</w:t>
            </w:r>
          </w:p>
        </w:tc>
        <w:tc>
          <w:tcPr>
            <w:tcW w:w="3375" w:type="dxa"/>
            <w:tcBorders>
              <w:top w:val="single" w:color="000000" w:sz="4" w:space="0"/>
              <w:left w:val="single" w:color="000000" w:sz="4" w:space="0"/>
              <w:bottom w:val="single" w:color="000000" w:sz="4" w:space="0"/>
              <w:right w:val="single" w:color="000000" w:sz="4" w:space="0"/>
            </w:tcBorders>
            <w:shd w:val="clear" w:color="auto" w:fill="auto"/>
          </w:tcPr>
          <w:p>
            <w:pPr>
              <w:textAlignment w:val="top"/>
              <w:rPr>
                <w:rFonts w:ascii="宋体" w:hAnsi="宋体" w:eastAsia="宋体" w:cs="宋体"/>
                <w:color w:val="000000"/>
              </w:rPr>
            </w:pPr>
            <w:r>
              <w:rPr>
                <w:rFonts w:hint="eastAsia" w:ascii="宋体" w:hAnsi="宋体" w:eastAsia="宋体" w:cs="宋体"/>
                <w:color w:val="000000"/>
              </w:rPr>
              <w:t>项目总用地面积</w:t>
            </w:r>
            <w:r>
              <w:rPr>
                <w:rStyle w:val="30"/>
                <w:rFonts w:hint="eastAsia" w:ascii="宋体" w:hAnsi="宋体" w:eastAsia="宋体" w:cs="宋体"/>
              </w:rPr>
              <w:t>30452.72</w:t>
            </w:r>
            <w:r>
              <w:rPr>
                <w:rStyle w:val="31"/>
                <w:rFonts w:hint="default"/>
              </w:rPr>
              <w:t>平方米（折合约</w:t>
            </w:r>
            <w:r>
              <w:rPr>
                <w:rStyle w:val="30"/>
                <w:rFonts w:hint="eastAsia" w:ascii="宋体" w:hAnsi="宋体" w:eastAsia="宋体" w:cs="宋体"/>
              </w:rPr>
              <w:t xml:space="preserve"> 45.679</w:t>
            </w:r>
            <w:r>
              <w:rPr>
                <w:rStyle w:val="31"/>
                <w:rFonts w:hint="default"/>
              </w:rPr>
              <w:t>亩），总建筑面积</w:t>
            </w:r>
            <w:r>
              <w:rPr>
                <w:rStyle w:val="30"/>
                <w:rFonts w:hint="eastAsia" w:ascii="宋体" w:hAnsi="宋体" w:eastAsia="宋体" w:cs="宋体"/>
              </w:rPr>
              <w:t xml:space="preserve"> 42618</w:t>
            </w:r>
            <w:r>
              <w:rPr>
                <w:rStyle w:val="31"/>
                <w:rFonts w:hint="default"/>
              </w:rPr>
              <w:t>平方米，班级规模为</w:t>
            </w:r>
            <w:r>
              <w:rPr>
                <w:rStyle w:val="30"/>
                <w:rFonts w:hint="eastAsia" w:ascii="宋体" w:hAnsi="宋体" w:eastAsia="宋体" w:cs="宋体"/>
              </w:rPr>
              <w:t xml:space="preserve">48 </w:t>
            </w:r>
            <w:r>
              <w:rPr>
                <w:rStyle w:val="31"/>
                <w:rFonts w:hint="default"/>
              </w:rPr>
              <w:t>个。</w:t>
            </w:r>
          </w:p>
        </w:tc>
        <w:tc>
          <w:tcPr>
            <w:tcW w:w="13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rPr>
            </w:pPr>
            <w:r>
              <w:rPr>
                <w:rFonts w:hint="eastAsia" w:ascii="宋体" w:hAnsi="宋体" w:eastAsia="宋体" w:cs="宋体"/>
                <w:color w:val="000000"/>
              </w:rPr>
              <w:t>2.91</w:t>
            </w:r>
          </w:p>
        </w:tc>
        <w:tc>
          <w:tcPr>
            <w:tcW w:w="2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rPr>
            </w:pPr>
            <w:r>
              <w:rPr>
                <w:rFonts w:hint="eastAsia" w:ascii="宋体" w:hAnsi="宋体" w:eastAsia="宋体" w:cs="宋体"/>
                <w:color w:val="000000"/>
              </w:rPr>
              <w:t>2.80</w:t>
            </w:r>
          </w:p>
        </w:tc>
        <w:tc>
          <w:tcPr>
            <w:tcW w:w="14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rPr>
            </w:pPr>
            <w:r>
              <w:rPr>
                <w:rFonts w:hint="eastAsia" w:ascii="宋体" w:hAnsi="宋体" w:eastAsia="宋体" w:cs="宋体"/>
                <w:color w:val="000000"/>
              </w:rPr>
              <w:t>1680</w:t>
            </w:r>
          </w:p>
        </w:tc>
        <w:tc>
          <w:tcPr>
            <w:tcW w:w="1484"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jc w:val="center"/>
              <w:textAlignment w:val="center"/>
              <w:rPr>
                <w:rFonts w:ascii="宋体" w:hAnsi="宋体" w:eastAsia="宋体" w:cs="宋体"/>
                <w:color w:val="000000"/>
              </w:rPr>
            </w:pPr>
            <w:r>
              <w:rPr>
                <w:rFonts w:hint="eastAsia" w:ascii="宋体" w:hAnsi="宋体" w:eastAsia="宋体" w:cs="宋体"/>
                <w:color w:val="000000"/>
              </w:rPr>
              <w:t>1680</w:t>
            </w:r>
          </w:p>
        </w:tc>
      </w:tr>
      <w:tr>
        <w:tblPrEx>
          <w:tblCellMar>
            <w:top w:w="0" w:type="dxa"/>
            <w:left w:w="108" w:type="dxa"/>
            <w:bottom w:w="0" w:type="dxa"/>
            <w:right w:w="108" w:type="dxa"/>
          </w:tblCellMar>
        </w:tblPrEx>
        <w:trPr>
          <w:trHeight w:val="720" w:hRule="atLeast"/>
        </w:trPr>
        <w:tc>
          <w:tcPr>
            <w:tcW w:w="581"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rPr>
            </w:pPr>
            <w:r>
              <w:rPr>
                <w:rFonts w:hint="eastAsia" w:ascii="宋体" w:hAnsi="宋体" w:eastAsia="宋体" w:cs="宋体"/>
                <w:color w:val="000000"/>
              </w:rPr>
              <w:t>7</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color w:val="000000"/>
              </w:rPr>
            </w:pPr>
            <w:r>
              <w:rPr>
                <w:rFonts w:hint="eastAsia" w:ascii="宋体" w:hAnsi="宋体" w:eastAsia="宋体" w:cs="宋体"/>
                <w:color w:val="000000"/>
              </w:rPr>
              <w:t>温州市实验小学锦绣校区</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000000"/>
              </w:rPr>
            </w:pPr>
            <w:r>
              <w:rPr>
                <w:rFonts w:hint="eastAsia" w:ascii="宋体" w:hAnsi="宋体" w:eastAsia="宋体" w:cs="宋体"/>
                <w:color w:val="000000"/>
              </w:rPr>
              <w:t>续建</w:t>
            </w:r>
          </w:p>
        </w:tc>
        <w:tc>
          <w:tcPr>
            <w:tcW w:w="13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000000"/>
              </w:rPr>
            </w:pPr>
            <w:r>
              <w:rPr>
                <w:rFonts w:hint="eastAsia" w:ascii="宋体" w:hAnsi="宋体" w:eastAsia="宋体" w:cs="宋体"/>
                <w:color w:val="000000"/>
              </w:rPr>
              <w:t>2020</w:t>
            </w:r>
          </w:p>
          <w:p>
            <w:pPr>
              <w:jc w:val="center"/>
              <w:textAlignment w:val="center"/>
              <w:rPr>
                <w:rFonts w:ascii="宋体" w:hAnsi="宋体" w:eastAsia="宋体" w:cs="宋体"/>
                <w:color w:val="000000"/>
              </w:rPr>
            </w:pPr>
            <w:r>
              <w:rPr>
                <w:rFonts w:hint="eastAsia" w:ascii="宋体" w:hAnsi="宋体" w:eastAsia="宋体" w:cs="宋体"/>
                <w:color w:val="000000"/>
              </w:rPr>
              <w:t>-2023</w:t>
            </w:r>
          </w:p>
        </w:tc>
        <w:tc>
          <w:tcPr>
            <w:tcW w:w="3375"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color w:val="000000"/>
              </w:rPr>
            </w:pPr>
            <w:r>
              <w:rPr>
                <w:rFonts w:hint="eastAsia" w:ascii="宋体" w:hAnsi="宋体" w:eastAsia="宋体" w:cs="宋体"/>
                <w:color w:val="000000"/>
              </w:rPr>
              <w:t>项目总用地面积</w:t>
            </w:r>
            <w:r>
              <w:rPr>
                <w:rStyle w:val="30"/>
                <w:rFonts w:hint="eastAsia" w:ascii="宋体" w:hAnsi="宋体" w:eastAsia="宋体" w:cs="宋体"/>
              </w:rPr>
              <w:t xml:space="preserve"> 27878.9 </w:t>
            </w:r>
            <w:r>
              <w:rPr>
                <w:rStyle w:val="31"/>
                <w:rFonts w:hint="default"/>
              </w:rPr>
              <w:t>平方米，总建筑面积</w:t>
            </w:r>
            <w:r>
              <w:rPr>
                <w:rStyle w:val="30"/>
                <w:rFonts w:hint="eastAsia" w:ascii="宋体" w:hAnsi="宋体" w:eastAsia="宋体" w:cs="宋体"/>
              </w:rPr>
              <w:t xml:space="preserve"> 42597.09 </w:t>
            </w:r>
            <w:r>
              <w:rPr>
                <w:rStyle w:val="31"/>
                <w:rFonts w:hint="default"/>
              </w:rPr>
              <w:t>平方米，班级规模为</w:t>
            </w:r>
            <w:r>
              <w:rPr>
                <w:rStyle w:val="30"/>
                <w:rFonts w:hint="eastAsia" w:ascii="宋体" w:hAnsi="宋体" w:eastAsia="宋体" w:cs="宋体"/>
              </w:rPr>
              <w:t>36</w:t>
            </w:r>
            <w:r>
              <w:rPr>
                <w:rStyle w:val="31"/>
                <w:rFonts w:hint="default"/>
              </w:rPr>
              <w:t>个。</w:t>
            </w:r>
          </w:p>
        </w:tc>
        <w:tc>
          <w:tcPr>
            <w:tcW w:w="13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rPr>
            </w:pPr>
            <w:r>
              <w:rPr>
                <w:rFonts w:hint="eastAsia" w:ascii="宋体" w:hAnsi="宋体" w:eastAsia="宋体" w:cs="宋体"/>
                <w:color w:val="000000"/>
              </w:rPr>
              <w:t>3.08</w:t>
            </w:r>
          </w:p>
        </w:tc>
        <w:tc>
          <w:tcPr>
            <w:tcW w:w="2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rPr>
            </w:pPr>
            <w:r>
              <w:rPr>
                <w:rFonts w:hint="eastAsia" w:ascii="宋体" w:hAnsi="宋体" w:eastAsia="宋体" w:cs="宋体"/>
                <w:color w:val="000000"/>
              </w:rPr>
              <w:t>2.95</w:t>
            </w:r>
          </w:p>
        </w:tc>
        <w:tc>
          <w:tcPr>
            <w:tcW w:w="14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rPr>
            </w:pPr>
            <w:r>
              <w:rPr>
                <w:rFonts w:hint="eastAsia" w:ascii="宋体" w:hAnsi="宋体" w:eastAsia="宋体" w:cs="宋体"/>
                <w:color w:val="000000"/>
              </w:rPr>
              <w:t>1260</w:t>
            </w:r>
          </w:p>
        </w:tc>
        <w:tc>
          <w:tcPr>
            <w:tcW w:w="1484"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jc w:val="center"/>
              <w:textAlignment w:val="center"/>
              <w:rPr>
                <w:rFonts w:ascii="宋体" w:hAnsi="宋体" w:eastAsia="宋体" w:cs="宋体"/>
                <w:color w:val="000000"/>
              </w:rPr>
            </w:pPr>
            <w:r>
              <w:rPr>
                <w:rFonts w:hint="eastAsia" w:ascii="宋体" w:hAnsi="宋体" w:eastAsia="宋体" w:cs="宋体"/>
                <w:color w:val="000000"/>
              </w:rPr>
              <w:t>1260</w:t>
            </w:r>
          </w:p>
        </w:tc>
      </w:tr>
      <w:tr>
        <w:tblPrEx>
          <w:tblCellMar>
            <w:top w:w="0" w:type="dxa"/>
            <w:left w:w="108" w:type="dxa"/>
            <w:bottom w:w="0" w:type="dxa"/>
            <w:right w:w="108" w:type="dxa"/>
          </w:tblCellMar>
        </w:tblPrEx>
        <w:trPr>
          <w:trHeight w:val="660" w:hRule="atLeast"/>
        </w:trPr>
        <w:tc>
          <w:tcPr>
            <w:tcW w:w="581"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rPr>
            </w:pPr>
            <w:r>
              <w:rPr>
                <w:rFonts w:hint="eastAsia" w:ascii="宋体" w:hAnsi="宋体" w:eastAsia="宋体" w:cs="宋体"/>
                <w:color w:val="000000"/>
              </w:rPr>
              <w:t>8</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color w:val="000000"/>
              </w:rPr>
            </w:pPr>
            <w:r>
              <w:rPr>
                <w:rFonts w:hint="eastAsia" w:ascii="宋体" w:hAnsi="宋体" w:eastAsia="宋体" w:cs="宋体"/>
                <w:color w:val="000000"/>
              </w:rPr>
              <w:t>温州市鹿城区黄龙单元</w:t>
            </w:r>
            <w:r>
              <w:rPr>
                <w:rStyle w:val="30"/>
                <w:rFonts w:hint="eastAsia" w:ascii="宋体" w:hAnsi="宋体" w:eastAsia="宋体" w:cs="宋体"/>
              </w:rPr>
              <w:t>D-03</w:t>
            </w:r>
            <w:r>
              <w:rPr>
                <w:rStyle w:val="31"/>
                <w:rFonts w:hint="default"/>
              </w:rPr>
              <w:t>地块小学建设工程</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000000"/>
              </w:rPr>
            </w:pPr>
            <w:r>
              <w:rPr>
                <w:rFonts w:hint="eastAsia" w:ascii="宋体" w:hAnsi="宋体" w:eastAsia="宋体" w:cs="宋体"/>
                <w:color w:val="000000"/>
              </w:rPr>
              <w:t>续建</w:t>
            </w:r>
          </w:p>
        </w:tc>
        <w:tc>
          <w:tcPr>
            <w:tcW w:w="13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000000"/>
              </w:rPr>
            </w:pPr>
            <w:r>
              <w:rPr>
                <w:rFonts w:hint="eastAsia" w:ascii="宋体" w:hAnsi="宋体" w:eastAsia="宋体" w:cs="宋体"/>
                <w:color w:val="000000"/>
              </w:rPr>
              <w:t>2020</w:t>
            </w:r>
          </w:p>
          <w:p>
            <w:pPr>
              <w:jc w:val="center"/>
              <w:textAlignment w:val="center"/>
              <w:rPr>
                <w:rFonts w:ascii="宋体" w:hAnsi="宋体" w:eastAsia="宋体" w:cs="宋体"/>
                <w:color w:val="000000"/>
              </w:rPr>
            </w:pPr>
            <w:r>
              <w:rPr>
                <w:rFonts w:hint="eastAsia" w:ascii="宋体" w:hAnsi="宋体" w:eastAsia="宋体" w:cs="宋体"/>
                <w:color w:val="000000"/>
              </w:rPr>
              <w:t>-2024</w:t>
            </w:r>
          </w:p>
        </w:tc>
        <w:tc>
          <w:tcPr>
            <w:tcW w:w="3375"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color w:val="000000"/>
              </w:rPr>
            </w:pPr>
            <w:r>
              <w:rPr>
                <w:rFonts w:hint="eastAsia" w:ascii="宋体" w:hAnsi="宋体" w:eastAsia="宋体" w:cs="宋体"/>
                <w:color w:val="000000"/>
              </w:rPr>
              <w:t>项目用地面积</w:t>
            </w:r>
            <w:r>
              <w:rPr>
                <w:rStyle w:val="30"/>
                <w:rFonts w:hint="eastAsia" w:ascii="宋体" w:hAnsi="宋体" w:eastAsia="宋体" w:cs="宋体"/>
              </w:rPr>
              <w:t>18716</w:t>
            </w:r>
            <w:r>
              <w:rPr>
                <w:rStyle w:val="31"/>
                <w:rFonts w:hint="default"/>
              </w:rPr>
              <w:t>平方米，总建筑面积</w:t>
            </w:r>
            <w:r>
              <w:rPr>
                <w:rStyle w:val="30"/>
                <w:rFonts w:hint="eastAsia" w:ascii="宋体" w:hAnsi="宋体" w:eastAsia="宋体" w:cs="宋体"/>
              </w:rPr>
              <w:t>23383</w:t>
            </w:r>
            <w:r>
              <w:rPr>
                <w:rStyle w:val="31"/>
                <w:rFonts w:hint="default"/>
              </w:rPr>
              <w:t>平方米，班级规模为</w:t>
            </w:r>
            <w:r>
              <w:rPr>
                <w:rStyle w:val="30"/>
                <w:rFonts w:hint="eastAsia" w:ascii="宋体" w:hAnsi="宋体" w:eastAsia="宋体" w:cs="宋体"/>
              </w:rPr>
              <w:t>24</w:t>
            </w:r>
            <w:r>
              <w:rPr>
                <w:rStyle w:val="31"/>
                <w:rFonts w:hint="default"/>
              </w:rPr>
              <w:t>个。</w:t>
            </w:r>
          </w:p>
        </w:tc>
        <w:tc>
          <w:tcPr>
            <w:tcW w:w="13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rPr>
            </w:pPr>
            <w:r>
              <w:rPr>
                <w:rFonts w:hint="eastAsia" w:ascii="宋体" w:hAnsi="宋体" w:eastAsia="宋体" w:cs="宋体"/>
                <w:color w:val="000000"/>
              </w:rPr>
              <w:t>1.75</w:t>
            </w:r>
          </w:p>
        </w:tc>
        <w:tc>
          <w:tcPr>
            <w:tcW w:w="2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rPr>
            </w:pPr>
            <w:r>
              <w:rPr>
                <w:rFonts w:hint="eastAsia" w:ascii="宋体" w:hAnsi="宋体" w:eastAsia="宋体" w:cs="宋体"/>
                <w:color w:val="000000"/>
              </w:rPr>
              <w:t>1.75</w:t>
            </w:r>
          </w:p>
        </w:tc>
        <w:tc>
          <w:tcPr>
            <w:tcW w:w="14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rPr>
            </w:pPr>
            <w:r>
              <w:rPr>
                <w:rFonts w:hint="eastAsia" w:ascii="宋体" w:hAnsi="宋体" w:eastAsia="宋体" w:cs="宋体"/>
                <w:color w:val="000000"/>
              </w:rPr>
              <w:t>1080</w:t>
            </w:r>
          </w:p>
        </w:tc>
        <w:tc>
          <w:tcPr>
            <w:tcW w:w="1484"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jc w:val="center"/>
              <w:textAlignment w:val="center"/>
              <w:rPr>
                <w:rFonts w:ascii="宋体" w:hAnsi="宋体" w:eastAsia="宋体" w:cs="宋体"/>
                <w:color w:val="000000"/>
              </w:rPr>
            </w:pPr>
            <w:r>
              <w:rPr>
                <w:rFonts w:hint="eastAsia" w:ascii="宋体" w:hAnsi="宋体" w:eastAsia="宋体" w:cs="宋体"/>
                <w:color w:val="000000"/>
              </w:rPr>
              <w:t>1080</w:t>
            </w:r>
          </w:p>
        </w:tc>
      </w:tr>
      <w:tr>
        <w:tblPrEx>
          <w:tblCellMar>
            <w:top w:w="0" w:type="dxa"/>
            <w:left w:w="108" w:type="dxa"/>
            <w:bottom w:w="0" w:type="dxa"/>
            <w:right w:w="108" w:type="dxa"/>
          </w:tblCellMar>
        </w:tblPrEx>
        <w:trPr>
          <w:trHeight w:val="340" w:hRule="atLeast"/>
        </w:trPr>
        <w:tc>
          <w:tcPr>
            <w:tcW w:w="581"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rPr>
            </w:pPr>
            <w:r>
              <w:rPr>
                <w:rFonts w:hint="eastAsia" w:ascii="宋体" w:hAnsi="宋体" w:eastAsia="宋体" w:cs="宋体"/>
                <w:color w:val="000000"/>
              </w:rPr>
              <w:t>9</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color w:val="000000"/>
              </w:rPr>
            </w:pPr>
            <w:r>
              <w:rPr>
                <w:rFonts w:hint="eastAsia" w:ascii="宋体" w:hAnsi="宋体" w:eastAsia="宋体" w:cs="宋体"/>
                <w:color w:val="000000"/>
              </w:rPr>
              <w:t>温州市三十四中（</w:t>
            </w:r>
            <w:r>
              <w:rPr>
                <w:rStyle w:val="31"/>
                <w:rFonts w:hint="default"/>
              </w:rPr>
              <w:t>暂名）</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000000"/>
              </w:rPr>
            </w:pPr>
            <w:r>
              <w:rPr>
                <w:rFonts w:hint="eastAsia" w:ascii="宋体" w:hAnsi="宋体" w:eastAsia="宋体" w:cs="宋体"/>
                <w:color w:val="000000"/>
              </w:rPr>
              <w:t>续建</w:t>
            </w:r>
          </w:p>
        </w:tc>
        <w:tc>
          <w:tcPr>
            <w:tcW w:w="13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000000"/>
              </w:rPr>
            </w:pPr>
            <w:r>
              <w:rPr>
                <w:rFonts w:hint="eastAsia" w:ascii="宋体" w:hAnsi="宋体" w:eastAsia="宋体" w:cs="宋体"/>
                <w:color w:val="000000"/>
              </w:rPr>
              <w:t>2018</w:t>
            </w:r>
          </w:p>
          <w:p>
            <w:pPr>
              <w:jc w:val="center"/>
              <w:textAlignment w:val="center"/>
              <w:rPr>
                <w:rFonts w:ascii="宋体" w:hAnsi="宋体" w:eastAsia="宋体" w:cs="宋体"/>
                <w:color w:val="000000"/>
              </w:rPr>
            </w:pPr>
            <w:r>
              <w:rPr>
                <w:rFonts w:hint="eastAsia" w:ascii="宋体" w:hAnsi="宋体" w:eastAsia="宋体" w:cs="宋体"/>
                <w:color w:val="000000"/>
              </w:rPr>
              <w:t>-2021</w:t>
            </w:r>
          </w:p>
        </w:tc>
        <w:tc>
          <w:tcPr>
            <w:tcW w:w="3375"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color w:val="000000"/>
              </w:rPr>
            </w:pPr>
            <w:r>
              <w:rPr>
                <w:rFonts w:hint="eastAsia" w:ascii="宋体" w:hAnsi="宋体" w:eastAsia="宋体" w:cs="宋体"/>
                <w:color w:val="000000"/>
              </w:rPr>
              <w:t>项目用地面积</w:t>
            </w:r>
            <w:r>
              <w:rPr>
                <w:rStyle w:val="30"/>
                <w:rFonts w:hint="eastAsia" w:ascii="宋体" w:hAnsi="宋体" w:eastAsia="宋体" w:cs="宋体"/>
              </w:rPr>
              <w:t>39038</w:t>
            </w:r>
            <w:r>
              <w:rPr>
                <w:rStyle w:val="31"/>
                <w:rFonts w:hint="default"/>
              </w:rPr>
              <w:t>平方米，总建筑面积</w:t>
            </w:r>
            <w:r>
              <w:rPr>
                <w:rStyle w:val="30"/>
                <w:rFonts w:hint="eastAsia" w:ascii="宋体" w:hAnsi="宋体" w:eastAsia="宋体" w:cs="宋体"/>
              </w:rPr>
              <w:t xml:space="preserve"> 102338</w:t>
            </w:r>
            <w:r>
              <w:rPr>
                <w:rStyle w:val="31"/>
                <w:rFonts w:hint="default"/>
              </w:rPr>
              <w:t>平方米，班级规模为</w:t>
            </w:r>
            <w:r>
              <w:rPr>
                <w:rStyle w:val="30"/>
                <w:rFonts w:hint="eastAsia" w:ascii="宋体" w:hAnsi="宋体" w:eastAsia="宋体" w:cs="宋体"/>
              </w:rPr>
              <w:t>42</w:t>
            </w:r>
            <w:r>
              <w:rPr>
                <w:rStyle w:val="31"/>
                <w:rFonts w:hint="default"/>
              </w:rPr>
              <w:t>个。</w:t>
            </w:r>
          </w:p>
        </w:tc>
        <w:tc>
          <w:tcPr>
            <w:tcW w:w="13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rPr>
            </w:pPr>
            <w:r>
              <w:rPr>
                <w:rFonts w:hint="eastAsia" w:ascii="宋体" w:hAnsi="宋体" w:eastAsia="宋体" w:cs="宋体"/>
                <w:color w:val="000000"/>
              </w:rPr>
              <w:t>6.8</w:t>
            </w:r>
          </w:p>
        </w:tc>
        <w:tc>
          <w:tcPr>
            <w:tcW w:w="2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rPr>
            </w:pPr>
            <w:r>
              <w:rPr>
                <w:rFonts w:hint="eastAsia" w:ascii="宋体" w:hAnsi="宋体" w:eastAsia="宋体" w:cs="宋体"/>
                <w:color w:val="000000"/>
              </w:rPr>
              <w:t>0.2</w:t>
            </w:r>
          </w:p>
        </w:tc>
        <w:tc>
          <w:tcPr>
            <w:tcW w:w="14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rPr>
            </w:pPr>
            <w:r>
              <w:rPr>
                <w:rFonts w:hint="eastAsia" w:ascii="宋体" w:hAnsi="宋体" w:eastAsia="宋体" w:cs="宋体"/>
                <w:color w:val="000000"/>
              </w:rPr>
              <w:t>1680</w:t>
            </w:r>
          </w:p>
        </w:tc>
        <w:tc>
          <w:tcPr>
            <w:tcW w:w="1484"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jc w:val="center"/>
              <w:textAlignment w:val="center"/>
              <w:rPr>
                <w:rFonts w:ascii="宋体" w:hAnsi="宋体" w:eastAsia="宋体" w:cs="宋体"/>
                <w:color w:val="000000"/>
              </w:rPr>
            </w:pPr>
            <w:r>
              <w:rPr>
                <w:rFonts w:hint="eastAsia" w:ascii="宋体" w:hAnsi="宋体" w:eastAsia="宋体" w:cs="宋体"/>
                <w:color w:val="000000"/>
              </w:rPr>
              <w:t>1680</w:t>
            </w:r>
          </w:p>
        </w:tc>
      </w:tr>
      <w:tr>
        <w:tblPrEx>
          <w:tblCellMar>
            <w:top w:w="0" w:type="dxa"/>
            <w:left w:w="108" w:type="dxa"/>
            <w:bottom w:w="0" w:type="dxa"/>
            <w:right w:w="108" w:type="dxa"/>
          </w:tblCellMar>
        </w:tblPrEx>
        <w:trPr>
          <w:trHeight w:val="1030" w:hRule="atLeast"/>
        </w:trPr>
        <w:tc>
          <w:tcPr>
            <w:tcW w:w="581"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rPr>
            </w:pPr>
            <w:r>
              <w:rPr>
                <w:rFonts w:hint="eastAsia" w:ascii="宋体" w:hAnsi="宋体" w:eastAsia="宋体" w:cs="宋体"/>
                <w:color w:val="000000"/>
              </w:rPr>
              <w:t>10</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color w:val="000000"/>
              </w:rPr>
            </w:pPr>
            <w:r>
              <w:rPr>
                <w:rFonts w:hint="eastAsia" w:ascii="宋体" w:hAnsi="宋体" w:eastAsia="宋体" w:cs="宋体"/>
                <w:color w:val="000000"/>
              </w:rPr>
              <w:t>温州市二十八中学</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000000"/>
              </w:rPr>
            </w:pPr>
            <w:r>
              <w:rPr>
                <w:rFonts w:hint="eastAsia" w:ascii="宋体" w:hAnsi="宋体" w:eastAsia="宋体" w:cs="宋体"/>
                <w:color w:val="000000"/>
              </w:rPr>
              <w:t>续建</w:t>
            </w:r>
          </w:p>
        </w:tc>
        <w:tc>
          <w:tcPr>
            <w:tcW w:w="13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000000"/>
              </w:rPr>
            </w:pPr>
            <w:r>
              <w:rPr>
                <w:rFonts w:hint="eastAsia" w:ascii="宋体" w:hAnsi="宋体" w:eastAsia="宋体" w:cs="宋体"/>
                <w:color w:val="000000"/>
              </w:rPr>
              <w:t>2018</w:t>
            </w:r>
          </w:p>
          <w:p>
            <w:pPr>
              <w:jc w:val="center"/>
              <w:textAlignment w:val="center"/>
              <w:rPr>
                <w:rFonts w:ascii="宋体" w:hAnsi="宋体" w:eastAsia="宋体" w:cs="宋体"/>
                <w:color w:val="000000"/>
              </w:rPr>
            </w:pPr>
            <w:r>
              <w:rPr>
                <w:rFonts w:hint="eastAsia" w:ascii="宋体" w:hAnsi="宋体" w:eastAsia="宋体" w:cs="宋体"/>
                <w:color w:val="000000"/>
              </w:rPr>
              <w:t>-2021</w:t>
            </w:r>
          </w:p>
        </w:tc>
        <w:tc>
          <w:tcPr>
            <w:tcW w:w="3375"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color w:val="000000"/>
              </w:rPr>
            </w:pPr>
            <w:r>
              <w:rPr>
                <w:rFonts w:hint="eastAsia" w:ascii="宋体" w:hAnsi="宋体" w:eastAsia="宋体" w:cs="宋体"/>
                <w:color w:val="000000"/>
              </w:rPr>
              <w:t>项目用地面积</w:t>
            </w:r>
            <w:r>
              <w:rPr>
                <w:rStyle w:val="30"/>
                <w:rFonts w:hint="eastAsia" w:ascii="宋体" w:hAnsi="宋体" w:eastAsia="宋体" w:cs="宋体"/>
              </w:rPr>
              <w:t>16992</w:t>
            </w:r>
            <w:r>
              <w:rPr>
                <w:rStyle w:val="31"/>
                <w:rFonts w:hint="default"/>
              </w:rPr>
              <w:t>平方米，</w:t>
            </w:r>
            <w:r>
              <w:rPr>
                <w:rStyle w:val="31"/>
              </w:rPr>
              <w:t>总</w:t>
            </w:r>
            <w:r>
              <w:rPr>
                <w:rStyle w:val="31"/>
                <w:rFonts w:hint="default"/>
              </w:rPr>
              <w:t>建筑面积</w:t>
            </w:r>
            <w:r>
              <w:rPr>
                <w:rStyle w:val="30"/>
                <w:rFonts w:hint="eastAsia" w:ascii="宋体" w:hAnsi="宋体" w:eastAsia="宋体" w:cs="宋体"/>
              </w:rPr>
              <w:t>20934</w:t>
            </w:r>
            <w:r>
              <w:rPr>
                <w:rStyle w:val="31"/>
                <w:rFonts w:hint="default"/>
              </w:rPr>
              <w:t>平方米，班级规模为</w:t>
            </w:r>
            <w:r>
              <w:rPr>
                <w:rStyle w:val="30"/>
                <w:rFonts w:hint="eastAsia" w:ascii="宋体" w:hAnsi="宋体" w:eastAsia="宋体" w:cs="宋体"/>
              </w:rPr>
              <w:t xml:space="preserve"> 30</w:t>
            </w:r>
            <w:r>
              <w:rPr>
                <w:rStyle w:val="31"/>
                <w:rFonts w:hint="default"/>
              </w:rPr>
              <w:t>个。</w:t>
            </w:r>
          </w:p>
        </w:tc>
        <w:tc>
          <w:tcPr>
            <w:tcW w:w="13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rPr>
            </w:pPr>
            <w:r>
              <w:rPr>
                <w:rFonts w:hint="eastAsia" w:ascii="宋体" w:hAnsi="宋体" w:eastAsia="宋体" w:cs="宋体"/>
                <w:color w:val="000000"/>
              </w:rPr>
              <w:t>1.0467</w:t>
            </w:r>
          </w:p>
        </w:tc>
        <w:tc>
          <w:tcPr>
            <w:tcW w:w="2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rPr>
            </w:pPr>
            <w:r>
              <w:rPr>
                <w:rFonts w:hint="eastAsia" w:ascii="宋体" w:hAnsi="宋体" w:eastAsia="宋体" w:cs="宋体"/>
                <w:color w:val="000000"/>
              </w:rPr>
              <w:t>0.25</w:t>
            </w:r>
          </w:p>
        </w:tc>
        <w:tc>
          <w:tcPr>
            <w:tcW w:w="14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rPr>
            </w:pPr>
            <w:r>
              <w:rPr>
                <w:rFonts w:hint="eastAsia" w:ascii="宋体" w:hAnsi="宋体" w:eastAsia="宋体" w:cs="宋体"/>
                <w:color w:val="000000"/>
              </w:rPr>
              <w:t>1500</w:t>
            </w:r>
          </w:p>
        </w:tc>
        <w:tc>
          <w:tcPr>
            <w:tcW w:w="1484"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jc w:val="center"/>
              <w:textAlignment w:val="center"/>
              <w:rPr>
                <w:rFonts w:ascii="宋体" w:hAnsi="宋体" w:eastAsia="宋体" w:cs="宋体"/>
                <w:color w:val="000000"/>
              </w:rPr>
            </w:pPr>
            <w:r>
              <w:rPr>
                <w:rFonts w:hint="eastAsia" w:ascii="宋体" w:hAnsi="宋体" w:eastAsia="宋体" w:cs="宋体"/>
                <w:color w:val="000000"/>
              </w:rPr>
              <w:t>1500</w:t>
            </w:r>
          </w:p>
        </w:tc>
      </w:tr>
      <w:tr>
        <w:tblPrEx>
          <w:tblCellMar>
            <w:top w:w="0" w:type="dxa"/>
            <w:left w:w="108" w:type="dxa"/>
            <w:bottom w:w="0" w:type="dxa"/>
            <w:right w:w="108" w:type="dxa"/>
          </w:tblCellMar>
        </w:tblPrEx>
        <w:trPr>
          <w:trHeight w:val="660" w:hRule="atLeast"/>
        </w:trPr>
        <w:tc>
          <w:tcPr>
            <w:tcW w:w="581"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rPr>
            </w:pPr>
            <w:r>
              <w:rPr>
                <w:rFonts w:hint="eastAsia" w:ascii="宋体" w:hAnsi="宋体" w:eastAsia="宋体" w:cs="宋体"/>
                <w:color w:val="000000"/>
              </w:rPr>
              <w:t>11</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color w:val="000000"/>
              </w:rPr>
            </w:pPr>
            <w:r>
              <w:rPr>
                <w:rFonts w:hint="eastAsia" w:ascii="宋体" w:hAnsi="宋体" w:eastAsia="宋体" w:cs="宋体"/>
                <w:color w:val="000000"/>
              </w:rPr>
              <w:t>温州市七都片区北单元</w:t>
            </w:r>
            <w:r>
              <w:rPr>
                <w:rStyle w:val="30"/>
                <w:rFonts w:hint="eastAsia" w:ascii="宋体" w:hAnsi="宋体" w:eastAsia="宋体" w:cs="宋体"/>
              </w:rPr>
              <w:t xml:space="preserve">03-C-14 </w:t>
            </w:r>
            <w:r>
              <w:rPr>
                <w:rStyle w:val="31"/>
                <w:rFonts w:hint="default"/>
              </w:rPr>
              <w:t>地块中学建设工程（温州市实验中学七都分校）</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000000"/>
              </w:rPr>
            </w:pPr>
            <w:r>
              <w:rPr>
                <w:rFonts w:hint="eastAsia" w:ascii="宋体" w:hAnsi="宋体" w:eastAsia="宋体" w:cs="宋体"/>
                <w:color w:val="000000"/>
              </w:rPr>
              <w:t>续建</w:t>
            </w:r>
          </w:p>
        </w:tc>
        <w:tc>
          <w:tcPr>
            <w:tcW w:w="13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000000"/>
              </w:rPr>
            </w:pPr>
            <w:r>
              <w:rPr>
                <w:rFonts w:hint="eastAsia" w:ascii="宋体" w:hAnsi="宋体" w:eastAsia="宋体" w:cs="宋体"/>
                <w:color w:val="000000"/>
              </w:rPr>
              <w:t>2020</w:t>
            </w:r>
          </w:p>
          <w:p>
            <w:pPr>
              <w:jc w:val="center"/>
              <w:textAlignment w:val="center"/>
              <w:rPr>
                <w:rFonts w:ascii="宋体" w:hAnsi="宋体" w:eastAsia="宋体" w:cs="宋体"/>
                <w:color w:val="000000"/>
              </w:rPr>
            </w:pPr>
            <w:r>
              <w:rPr>
                <w:rFonts w:hint="eastAsia" w:ascii="宋体" w:hAnsi="宋体" w:eastAsia="宋体" w:cs="宋体"/>
                <w:color w:val="000000"/>
              </w:rPr>
              <w:t>-2022</w:t>
            </w:r>
          </w:p>
        </w:tc>
        <w:tc>
          <w:tcPr>
            <w:tcW w:w="3375"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color w:val="000000"/>
              </w:rPr>
            </w:pPr>
            <w:r>
              <w:rPr>
                <w:rFonts w:hint="eastAsia" w:ascii="宋体" w:hAnsi="宋体" w:eastAsia="宋体" w:cs="宋体"/>
                <w:color w:val="000000"/>
              </w:rPr>
              <w:t>项目总用地面积</w:t>
            </w:r>
            <w:r>
              <w:rPr>
                <w:rStyle w:val="30"/>
                <w:rFonts w:hint="eastAsia" w:ascii="宋体" w:hAnsi="宋体" w:eastAsia="宋体" w:cs="宋体"/>
              </w:rPr>
              <w:t>32478</w:t>
            </w:r>
            <w:r>
              <w:rPr>
                <w:rStyle w:val="31"/>
                <w:rFonts w:hint="default"/>
              </w:rPr>
              <w:t>平方米（折合约</w:t>
            </w:r>
            <w:r>
              <w:rPr>
                <w:rStyle w:val="30"/>
                <w:rFonts w:hint="eastAsia" w:ascii="宋体" w:hAnsi="宋体" w:eastAsia="宋体" w:cs="宋体"/>
              </w:rPr>
              <w:t xml:space="preserve"> 48.7</w:t>
            </w:r>
            <w:r>
              <w:rPr>
                <w:rStyle w:val="31"/>
                <w:rFonts w:hint="default"/>
              </w:rPr>
              <w:t>亩），总建筑面积</w:t>
            </w:r>
            <w:r>
              <w:rPr>
                <w:rStyle w:val="30"/>
                <w:rFonts w:hint="eastAsia" w:ascii="宋体" w:hAnsi="宋体" w:eastAsia="宋体" w:cs="宋体"/>
              </w:rPr>
              <w:t xml:space="preserve"> 34992</w:t>
            </w:r>
            <w:r>
              <w:rPr>
                <w:rStyle w:val="31"/>
                <w:rFonts w:hint="default"/>
              </w:rPr>
              <w:t>平方米，班级规模为</w:t>
            </w:r>
            <w:r>
              <w:rPr>
                <w:rStyle w:val="30"/>
                <w:rFonts w:hint="eastAsia" w:ascii="宋体" w:hAnsi="宋体" w:eastAsia="宋体" w:cs="宋体"/>
              </w:rPr>
              <w:t>30</w:t>
            </w:r>
            <w:r>
              <w:rPr>
                <w:rStyle w:val="31"/>
                <w:rFonts w:hint="default"/>
              </w:rPr>
              <w:t>个。</w:t>
            </w:r>
          </w:p>
        </w:tc>
        <w:tc>
          <w:tcPr>
            <w:tcW w:w="13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rPr>
            </w:pPr>
            <w:r>
              <w:rPr>
                <w:rFonts w:hint="eastAsia" w:ascii="宋体" w:hAnsi="宋体" w:eastAsia="宋体" w:cs="宋体"/>
                <w:color w:val="000000"/>
              </w:rPr>
              <w:t>2.33</w:t>
            </w:r>
          </w:p>
        </w:tc>
        <w:tc>
          <w:tcPr>
            <w:tcW w:w="2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rPr>
            </w:pPr>
            <w:r>
              <w:rPr>
                <w:rFonts w:hint="eastAsia" w:ascii="宋体" w:hAnsi="宋体" w:eastAsia="宋体" w:cs="宋体"/>
                <w:color w:val="000000"/>
              </w:rPr>
              <w:t>2.2</w:t>
            </w:r>
          </w:p>
        </w:tc>
        <w:tc>
          <w:tcPr>
            <w:tcW w:w="14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rPr>
            </w:pPr>
            <w:r>
              <w:rPr>
                <w:rFonts w:hint="eastAsia" w:ascii="宋体" w:hAnsi="宋体" w:eastAsia="宋体" w:cs="宋体"/>
                <w:color w:val="000000"/>
              </w:rPr>
              <w:t>1200</w:t>
            </w:r>
          </w:p>
        </w:tc>
        <w:tc>
          <w:tcPr>
            <w:tcW w:w="1484"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jc w:val="center"/>
              <w:textAlignment w:val="center"/>
              <w:rPr>
                <w:rFonts w:ascii="宋体" w:hAnsi="宋体" w:eastAsia="宋体" w:cs="宋体"/>
                <w:color w:val="000000"/>
              </w:rPr>
            </w:pPr>
            <w:r>
              <w:rPr>
                <w:rFonts w:hint="eastAsia" w:ascii="宋体" w:hAnsi="宋体" w:eastAsia="宋体" w:cs="宋体"/>
                <w:color w:val="000000"/>
              </w:rPr>
              <w:t>1200</w:t>
            </w:r>
          </w:p>
        </w:tc>
      </w:tr>
      <w:tr>
        <w:tblPrEx>
          <w:tblCellMar>
            <w:top w:w="0" w:type="dxa"/>
            <w:left w:w="108" w:type="dxa"/>
            <w:bottom w:w="0" w:type="dxa"/>
            <w:right w:w="108" w:type="dxa"/>
          </w:tblCellMar>
        </w:tblPrEx>
        <w:trPr>
          <w:trHeight w:val="760" w:hRule="atLeast"/>
        </w:trPr>
        <w:tc>
          <w:tcPr>
            <w:tcW w:w="581"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rPr>
            </w:pPr>
            <w:r>
              <w:rPr>
                <w:rFonts w:hint="eastAsia" w:ascii="宋体" w:hAnsi="宋体" w:eastAsia="宋体" w:cs="宋体"/>
                <w:color w:val="000000"/>
              </w:rPr>
              <w:t>12</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color w:val="000000"/>
              </w:rPr>
            </w:pPr>
            <w:r>
              <w:rPr>
                <w:rFonts w:hint="eastAsia" w:ascii="宋体" w:hAnsi="宋体" w:eastAsia="宋体" w:cs="宋体"/>
                <w:color w:val="000000"/>
              </w:rPr>
              <w:t>温州市第二十四中学（</w:t>
            </w:r>
            <w:r>
              <w:rPr>
                <w:rStyle w:val="31"/>
                <w:rFonts w:hint="default"/>
              </w:rPr>
              <w:t>暂名）</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000000"/>
              </w:rPr>
            </w:pPr>
            <w:r>
              <w:rPr>
                <w:rFonts w:hint="eastAsia" w:ascii="宋体" w:hAnsi="宋体" w:eastAsia="宋体" w:cs="宋体"/>
                <w:color w:val="000000"/>
              </w:rPr>
              <w:t>新建</w:t>
            </w:r>
          </w:p>
        </w:tc>
        <w:tc>
          <w:tcPr>
            <w:tcW w:w="13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000000"/>
              </w:rPr>
            </w:pPr>
            <w:r>
              <w:rPr>
                <w:rFonts w:hint="eastAsia" w:ascii="宋体" w:hAnsi="宋体" w:eastAsia="宋体" w:cs="宋体"/>
                <w:color w:val="000000"/>
              </w:rPr>
              <w:t>2021</w:t>
            </w:r>
          </w:p>
          <w:p>
            <w:pPr>
              <w:jc w:val="center"/>
              <w:textAlignment w:val="center"/>
              <w:rPr>
                <w:rFonts w:ascii="宋体" w:hAnsi="宋体" w:eastAsia="宋体" w:cs="宋体"/>
                <w:color w:val="000000"/>
              </w:rPr>
            </w:pPr>
            <w:r>
              <w:rPr>
                <w:rFonts w:hint="eastAsia" w:ascii="宋体" w:hAnsi="宋体" w:eastAsia="宋体" w:cs="宋体"/>
                <w:color w:val="000000"/>
              </w:rPr>
              <w:t>-2023</w:t>
            </w:r>
          </w:p>
        </w:tc>
        <w:tc>
          <w:tcPr>
            <w:tcW w:w="3375"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color w:val="000000"/>
              </w:rPr>
            </w:pPr>
            <w:r>
              <w:rPr>
                <w:rFonts w:hint="eastAsia" w:ascii="宋体" w:hAnsi="宋体" w:eastAsia="宋体" w:cs="宋体"/>
                <w:color w:val="000000"/>
              </w:rPr>
              <w:t>项目用地面积</w:t>
            </w:r>
            <w:r>
              <w:rPr>
                <w:rStyle w:val="30"/>
                <w:rFonts w:hint="eastAsia" w:ascii="宋体" w:hAnsi="宋体" w:eastAsia="宋体" w:cs="宋体"/>
              </w:rPr>
              <w:t>34745</w:t>
            </w:r>
            <w:r>
              <w:rPr>
                <w:rStyle w:val="31"/>
                <w:rFonts w:hint="default"/>
              </w:rPr>
              <w:t>平方米，总建筑面积</w:t>
            </w:r>
            <w:r>
              <w:rPr>
                <w:rStyle w:val="30"/>
                <w:rFonts w:hint="eastAsia" w:ascii="宋体" w:hAnsi="宋体" w:eastAsia="宋体" w:cs="宋体"/>
              </w:rPr>
              <w:t>41229</w:t>
            </w:r>
            <w:r>
              <w:rPr>
                <w:rStyle w:val="31"/>
                <w:rFonts w:hint="default"/>
              </w:rPr>
              <w:t>平方米，班级规模为</w:t>
            </w:r>
            <w:r>
              <w:rPr>
                <w:rStyle w:val="30"/>
                <w:rFonts w:hint="eastAsia" w:ascii="宋体" w:hAnsi="宋体" w:eastAsia="宋体" w:cs="宋体"/>
              </w:rPr>
              <w:t>30</w:t>
            </w:r>
            <w:r>
              <w:rPr>
                <w:rStyle w:val="31"/>
                <w:rFonts w:hint="default"/>
              </w:rPr>
              <w:t>个。</w:t>
            </w:r>
          </w:p>
        </w:tc>
        <w:tc>
          <w:tcPr>
            <w:tcW w:w="13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rPr>
            </w:pPr>
            <w:r>
              <w:rPr>
                <w:rFonts w:hint="eastAsia" w:ascii="宋体" w:hAnsi="宋体" w:eastAsia="宋体" w:cs="宋体"/>
                <w:color w:val="000000"/>
              </w:rPr>
              <w:t>3.22</w:t>
            </w:r>
          </w:p>
        </w:tc>
        <w:tc>
          <w:tcPr>
            <w:tcW w:w="2016"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jc w:val="center"/>
              <w:textAlignment w:val="center"/>
              <w:rPr>
                <w:rFonts w:ascii="宋体" w:hAnsi="宋体" w:eastAsia="宋体" w:cs="宋体"/>
                <w:color w:val="000000"/>
              </w:rPr>
            </w:pPr>
            <w:r>
              <w:rPr>
                <w:rFonts w:hint="eastAsia" w:ascii="宋体" w:hAnsi="宋体" w:eastAsia="宋体" w:cs="宋体"/>
                <w:color w:val="000000"/>
              </w:rPr>
              <w:t>3.22</w:t>
            </w:r>
          </w:p>
        </w:tc>
        <w:tc>
          <w:tcPr>
            <w:tcW w:w="1453"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jc w:val="center"/>
              <w:textAlignment w:val="center"/>
              <w:rPr>
                <w:rFonts w:ascii="宋体" w:hAnsi="宋体" w:eastAsia="宋体" w:cs="宋体"/>
                <w:color w:val="000000"/>
              </w:rPr>
            </w:pPr>
            <w:r>
              <w:rPr>
                <w:rFonts w:hint="eastAsia" w:ascii="宋体" w:hAnsi="宋体" w:eastAsia="宋体" w:cs="宋体"/>
                <w:color w:val="000000"/>
              </w:rPr>
              <w:t>1200</w:t>
            </w:r>
          </w:p>
        </w:tc>
        <w:tc>
          <w:tcPr>
            <w:tcW w:w="1484" w:type="dxa"/>
            <w:tcBorders>
              <w:top w:val="single" w:color="000000" w:sz="4" w:space="0"/>
              <w:left w:val="single" w:color="000000" w:sz="4" w:space="0"/>
              <w:bottom w:val="single" w:color="auto" w:sz="4" w:space="0"/>
              <w:right w:val="single" w:color="000000" w:sz="8" w:space="0"/>
            </w:tcBorders>
            <w:shd w:val="clear" w:color="auto" w:fill="auto"/>
            <w:noWrap/>
            <w:vAlign w:val="center"/>
          </w:tcPr>
          <w:p>
            <w:pPr>
              <w:jc w:val="center"/>
              <w:textAlignment w:val="center"/>
              <w:rPr>
                <w:rFonts w:ascii="宋体" w:hAnsi="宋体" w:eastAsia="宋体" w:cs="宋体"/>
                <w:color w:val="000000"/>
              </w:rPr>
            </w:pPr>
            <w:r>
              <w:rPr>
                <w:rFonts w:hint="eastAsia" w:ascii="宋体" w:hAnsi="宋体" w:eastAsia="宋体" w:cs="宋体"/>
                <w:color w:val="000000"/>
              </w:rPr>
              <w:t>1200</w:t>
            </w:r>
          </w:p>
        </w:tc>
      </w:tr>
      <w:tr>
        <w:tblPrEx>
          <w:tblCellMar>
            <w:top w:w="0" w:type="dxa"/>
            <w:left w:w="108" w:type="dxa"/>
            <w:bottom w:w="0" w:type="dxa"/>
            <w:right w:w="108" w:type="dxa"/>
          </w:tblCellMar>
        </w:tblPrEx>
        <w:trPr>
          <w:trHeight w:val="780" w:hRule="atLeast"/>
        </w:trPr>
        <w:tc>
          <w:tcPr>
            <w:tcW w:w="581"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rPr>
            </w:pPr>
            <w:r>
              <w:rPr>
                <w:rFonts w:hint="eastAsia" w:ascii="宋体" w:hAnsi="宋体" w:eastAsia="宋体" w:cs="宋体"/>
                <w:color w:val="000000"/>
              </w:rPr>
              <w:t>13</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color w:val="000000"/>
              </w:rPr>
            </w:pPr>
            <w:r>
              <w:rPr>
                <w:rFonts w:hint="eastAsia" w:ascii="宋体" w:hAnsi="宋体" w:eastAsia="宋体" w:cs="宋体"/>
                <w:color w:val="000000"/>
              </w:rPr>
              <w:t>温州市实验中学教育集团新校区建设项目</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000000"/>
              </w:rPr>
            </w:pPr>
            <w:r>
              <w:rPr>
                <w:rFonts w:hint="eastAsia" w:ascii="宋体" w:hAnsi="宋体" w:eastAsia="宋体" w:cs="宋体"/>
                <w:color w:val="000000"/>
              </w:rPr>
              <w:t>续建</w:t>
            </w:r>
          </w:p>
        </w:tc>
        <w:tc>
          <w:tcPr>
            <w:tcW w:w="13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000000"/>
              </w:rPr>
            </w:pPr>
            <w:r>
              <w:rPr>
                <w:rFonts w:hint="eastAsia" w:ascii="宋体" w:hAnsi="宋体" w:eastAsia="宋体" w:cs="宋体"/>
                <w:color w:val="000000"/>
              </w:rPr>
              <w:t>2020</w:t>
            </w:r>
          </w:p>
          <w:p>
            <w:pPr>
              <w:jc w:val="center"/>
              <w:textAlignment w:val="center"/>
              <w:rPr>
                <w:rFonts w:ascii="宋体" w:hAnsi="宋体" w:eastAsia="宋体" w:cs="宋体"/>
                <w:color w:val="000000"/>
              </w:rPr>
            </w:pPr>
            <w:r>
              <w:rPr>
                <w:rFonts w:hint="eastAsia" w:ascii="宋体" w:hAnsi="宋体" w:eastAsia="宋体" w:cs="宋体"/>
                <w:color w:val="000000"/>
              </w:rPr>
              <w:t>-2023</w:t>
            </w:r>
          </w:p>
        </w:tc>
        <w:tc>
          <w:tcPr>
            <w:tcW w:w="3375" w:type="dxa"/>
            <w:tcBorders>
              <w:top w:val="single" w:color="000000" w:sz="4" w:space="0"/>
              <w:left w:val="single" w:color="000000" w:sz="4" w:space="0"/>
              <w:bottom w:val="single" w:color="000000" w:sz="4" w:space="0"/>
              <w:right w:val="single" w:color="000000" w:sz="4" w:space="0"/>
            </w:tcBorders>
            <w:shd w:val="clear" w:color="auto" w:fill="auto"/>
          </w:tcPr>
          <w:p>
            <w:pPr>
              <w:textAlignment w:val="top"/>
              <w:rPr>
                <w:rFonts w:ascii="宋体" w:hAnsi="宋体" w:eastAsia="宋体" w:cs="宋体"/>
                <w:color w:val="000000"/>
              </w:rPr>
            </w:pPr>
            <w:r>
              <w:rPr>
                <w:rFonts w:hint="eastAsia" w:ascii="宋体" w:hAnsi="宋体" w:eastAsia="宋体" w:cs="宋体"/>
                <w:color w:val="000000"/>
              </w:rPr>
              <w:t>项目用地面积</w:t>
            </w:r>
            <w:r>
              <w:rPr>
                <w:rStyle w:val="30"/>
                <w:rFonts w:hint="eastAsia" w:ascii="宋体" w:hAnsi="宋体" w:eastAsia="宋体" w:cs="宋体"/>
              </w:rPr>
              <w:t>59659</w:t>
            </w:r>
            <w:r>
              <w:rPr>
                <w:rStyle w:val="31"/>
                <w:rFonts w:hint="default"/>
              </w:rPr>
              <w:t>平方米，总建筑面积</w:t>
            </w:r>
            <w:r>
              <w:rPr>
                <w:rStyle w:val="30"/>
                <w:rFonts w:hint="eastAsia" w:ascii="宋体" w:hAnsi="宋体" w:eastAsia="宋体" w:cs="宋体"/>
              </w:rPr>
              <w:t>118926</w:t>
            </w:r>
            <w:r>
              <w:rPr>
                <w:rStyle w:val="31"/>
                <w:rFonts w:hint="default"/>
              </w:rPr>
              <w:t>平方米。拟办学规模小学</w:t>
            </w:r>
            <w:r>
              <w:rPr>
                <w:rStyle w:val="30"/>
                <w:rFonts w:hint="eastAsia" w:ascii="宋体" w:hAnsi="宋体" w:eastAsia="宋体" w:cs="宋体"/>
              </w:rPr>
              <w:t xml:space="preserve"> 30 </w:t>
            </w:r>
            <w:r>
              <w:rPr>
                <w:rStyle w:val="31"/>
                <w:rFonts w:hint="default"/>
              </w:rPr>
              <w:t>班，初中</w:t>
            </w:r>
            <w:r>
              <w:rPr>
                <w:rStyle w:val="30"/>
                <w:rFonts w:hint="eastAsia" w:ascii="宋体" w:hAnsi="宋体" w:eastAsia="宋体" w:cs="宋体"/>
              </w:rPr>
              <w:t>42</w:t>
            </w:r>
            <w:r>
              <w:rPr>
                <w:rStyle w:val="31"/>
                <w:rFonts w:hint="default"/>
              </w:rPr>
              <w:t>班。</w:t>
            </w:r>
          </w:p>
        </w:tc>
        <w:tc>
          <w:tcPr>
            <w:tcW w:w="1359"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jc w:val="center"/>
              <w:textAlignment w:val="center"/>
              <w:rPr>
                <w:rFonts w:ascii="宋体" w:hAnsi="宋体" w:eastAsia="宋体" w:cs="宋体"/>
                <w:color w:val="000000"/>
              </w:rPr>
            </w:pPr>
            <w:r>
              <w:rPr>
                <w:rFonts w:hint="eastAsia" w:ascii="宋体" w:hAnsi="宋体" w:eastAsia="宋体" w:cs="宋体"/>
                <w:color w:val="000000"/>
              </w:rPr>
              <w:t>10.1983</w:t>
            </w:r>
          </w:p>
        </w:tc>
        <w:tc>
          <w:tcPr>
            <w:tcW w:w="2016"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ascii="宋体" w:hAnsi="宋体" w:eastAsia="宋体" w:cs="宋体"/>
                <w:color w:val="000000"/>
              </w:rPr>
            </w:pPr>
            <w:r>
              <w:rPr>
                <w:rFonts w:hint="eastAsia" w:ascii="宋体" w:hAnsi="宋体" w:eastAsia="宋体" w:cs="宋体"/>
                <w:color w:val="000000"/>
              </w:rPr>
              <w:t>10.01</w:t>
            </w:r>
          </w:p>
        </w:tc>
        <w:tc>
          <w:tcPr>
            <w:tcW w:w="145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textAlignment w:val="center"/>
              <w:rPr>
                <w:rFonts w:ascii="宋体" w:hAnsi="宋体" w:eastAsia="宋体" w:cs="宋体"/>
                <w:color w:val="000000"/>
              </w:rPr>
            </w:pPr>
            <w:r>
              <w:rPr>
                <w:rFonts w:hint="eastAsia" w:ascii="宋体" w:hAnsi="宋体" w:eastAsia="宋体" w:cs="宋体"/>
                <w:color w:val="000000"/>
              </w:rPr>
              <w:t>小学</w:t>
            </w:r>
            <w:r>
              <w:rPr>
                <w:rStyle w:val="30"/>
                <w:rFonts w:hint="eastAsia" w:ascii="宋体" w:hAnsi="宋体" w:eastAsia="宋体" w:cs="宋体"/>
              </w:rPr>
              <w:t>1050</w:t>
            </w:r>
            <w:r>
              <w:rPr>
                <w:rStyle w:val="30"/>
                <w:rFonts w:hint="eastAsia" w:ascii="宋体" w:hAnsi="宋体" w:eastAsia="宋体" w:cs="宋体"/>
              </w:rPr>
              <w:br w:type="textWrapping"/>
            </w:r>
            <w:r>
              <w:rPr>
                <w:rStyle w:val="31"/>
                <w:rFonts w:hint="default"/>
              </w:rPr>
              <w:t>初中</w:t>
            </w:r>
            <w:r>
              <w:rPr>
                <w:rStyle w:val="30"/>
                <w:rFonts w:hint="eastAsia" w:ascii="宋体" w:hAnsi="宋体" w:eastAsia="宋体" w:cs="宋体"/>
              </w:rPr>
              <w:t>1680</w:t>
            </w:r>
          </w:p>
        </w:tc>
        <w:tc>
          <w:tcPr>
            <w:tcW w:w="148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textAlignment w:val="center"/>
              <w:rPr>
                <w:rFonts w:ascii="宋体" w:hAnsi="宋体" w:eastAsia="宋体" w:cs="宋体"/>
                <w:color w:val="000000"/>
              </w:rPr>
            </w:pPr>
            <w:r>
              <w:rPr>
                <w:rFonts w:hint="eastAsia" w:ascii="宋体" w:hAnsi="宋体" w:eastAsia="宋体" w:cs="宋体"/>
                <w:color w:val="000000"/>
              </w:rPr>
              <w:t>2730</w:t>
            </w:r>
          </w:p>
        </w:tc>
      </w:tr>
      <w:tr>
        <w:tblPrEx>
          <w:tblCellMar>
            <w:top w:w="0" w:type="dxa"/>
            <w:left w:w="108" w:type="dxa"/>
            <w:bottom w:w="0" w:type="dxa"/>
            <w:right w:w="108" w:type="dxa"/>
          </w:tblCellMar>
        </w:tblPrEx>
        <w:trPr>
          <w:trHeight w:val="420" w:hRule="atLeast"/>
        </w:trPr>
        <w:tc>
          <w:tcPr>
            <w:tcW w:w="581" w:type="dxa"/>
            <w:vMerge w:val="restart"/>
            <w:tcBorders>
              <w:top w:val="single" w:color="000000" w:sz="4" w:space="0"/>
              <w:left w:val="single" w:color="000000" w:sz="8"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rPr>
            </w:pPr>
            <w:r>
              <w:rPr>
                <w:rFonts w:hint="eastAsia" w:ascii="宋体" w:hAnsi="宋体" w:eastAsia="宋体" w:cs="宋体"/>
                <w:color w:val="000000"/>
              </w:rPr>
              <w:t>14</w:t>
            </w:r>
          </w:p>
        </w:tc>
        <w:tc>
          <w:tcPr>
            <w:tcW w:w="213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color w:val="000000"/>
              </w:rPr>
            </w:pPr>
            <w:r>
              <w:rPr>
                <w:rFonts w:hint="eastAsia" w:ascii="宋体" w:hAnsi="宋体" w:eastAsia="宋体" w:cs="宋体"/>
                <w:color w:val="000000"/>
              </w:rPr>
              <w:t>温州市蒲州中小学（暂名）</w:t>
            </w:r>
          </w:p>
        </w:tc>
        <w:tc>
          <w:tcPr>
            <w:tcW w:w="9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000000"/>
              </w:rPr>
            </w:pPr>
            <w:r>
              <w:rPr>
                <w:rFonts w:hint="eastAsia" w:ascii="宋体" w:hAnsi="宋体" w:eastAsia="宋体" w:cs="宋体"/>
                <w:color w:val="000000"/>
              </w:rPr>
              <w:t>新建</w:t>
            </w:r>
          </w:p>
        </w:tc>
        <w:tc>
          <w:tcPr>
            <w:tcW w:w="139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000000"/>
              </w:rPr>
            </w:pPr>
            <w:r>
              <w:rPr>
                <w:rFonts w:hint="eastAsia" w:ascii="宋体" w:hAnsi="宋体" w:eastAsia="宋体" w:cs="宋体"/>
                <w:color w:val="000000"/>
              </w:rPr>
              <w:t>2023</w:t>
            </w:r>
          </w:p>
          <w:p>
            <w:pPr>
              <w:jc w:val="center"/>
              <w:textAlignment w:val="center"/>
              <w:rPr>
                <w:rFonts w:ascii="宋体" w:hAnsi="宋体" w:eastAsia="宋体" w:cs="宋体"/>
                <w:color w:val="000000"/>
              </w:rPr>
            </w:pPr>
            <w:r>
              <w:rPr>
                <w:rFonts w:hint="eastAsia" w:ascii="宋体" w:hAnsi="宋体" w:eastAsia="宋体" w:cs="宋体"/>
                <w:color w:val="000000"/>
              </w:rPr>
              <w:t>-2026</w:t>
            </w:r>
          </w:p>
        </w:tc>
        <w:tc>
          <w:tcPr>
            <w:tcW w:w="3375" w:type="dxa"/>
            <w:vMerge w:val="restart"/>
            <w:tcBorders>
              <w:top w:val="single" w:color="000000" w:sz="4" w:space="0"/>
              <w:left w:val="single" w:color="000000" w:sz="4" w:space="0"/>
              <w:bottom w:val="single" w:color="000000" w:sz="4" w:space="0"/>
              <w:right w:val="single" w:color="000000" w:sz="4" w:space="0"/>
            </w:tcBorders>
            <w:shd w:val="clear" w:color="auto" w:fill="auto"/>
          </w:tcPr>
          <w:p>
            <w:pPr>
              <w:textAlignment w:val="top"/>
              <w:rPr>
                <w:rFonts w:ascii="宋体" w:hAnsi="宋体" w:eastAsia="宋体" w:cs="宋体"/>
                <w:color w:val="000000"/>
              </w:rPr>
            </w:pPr>
            <w:r>
              <w:rPr>
                <w:rFonts w:hint="eastAsia" w:ascii="宋体" w:hAnsi="宋体" w:eastAsia="宋体" w:cs="宋体"/>
                <w:color w:val="000000"/>
              </w:rPr>
              <w:t>项目用地面积</w:t>
            </w:r>
            <w:r>
              <w:rPr>
                <w:rStyle w:val="32"/>
                <w:rFonts w:hint="eastAsia" w:ascii="宋体" w:hAnsi="宋体" w:eastAsia="宋体" w:cs="宋体"/>
              </w:rPr>
              <w:t>63285</w:t>
            </w:r>
            <w:r>
              <w:rPr>
                <w:rStyle w:val="33"/>
                <w:rFonts w:hint="default"/>
              </w:rPr>
              <w:t>平方米，</w:t>
            </w:r>
            <w:r>
              <w:rPr>
                <w:rStyle w:val="33"/>
              </w:rPr>
              <w:t>其中</w:t>
            </w:r>
            <w:r>
              <w:rPr>
                <w:rStyle w:val="33"/>
                <w:rFonts w:hint="default"/>
              </w:rPr>
              <w:t>地上建筑面积</w:t>
            </w:r>
            <w:r>
              <w:rPr>
                <w:rStyle w:val="32"/>
                <w:rFonts w:hint="eastAsia" w:ascii="宋体" w:hAnsi="宋体" w:eastAsia="宋体" w:cs="宋体"/>
              </w:rPr>
              <w:t>57800</w:t>
            </w:r>
            <w:r>
              <w:rPr>
                <w:rStyle w:val="33"/>
                <w:rFonts w:hint="default"/>
              </w:rPr>
              <w:t>平方米，地下建筑面积32000平方米，班级规模为中小学各</w:t>
            </w:r>
            <w:r>
              <w:rPr>
                <w:rStyle w:val="32"/>
                <w:rFonts w:hint="eastAsia" w:ascii="宋体" w:hAnsi="宋体" w:eastAsia="宋体" w:cs="宋体"/>
              </w:rPr>
              <w:t>45、48</w:t>
            </w:r>
            <w:r>
              <w:rPr>
                <w:rStyle w:val="33"/>
                <w:rFonts w:hint="default"/>
              </w:rPr>
              <w:t>个。</w:t>
            </w:r>
          </w:p>
        </w:tc>
        <w:tc>
          <w:tcPr>
            <w:tcW w:w="135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rPr>
            </w:pPr>
            <w:r>
              <w:rPr>
                <w:rFonts w:hint="eastAsia" w:ascii="宋体" w:hAnsi="宋体" w:eastAsia="宋体" w:cs="宋体"/>
                <w:color w:val="000000"/>
              </w:rPr>
              <w:t>5.7</w:t>
            </w:r>
          </w:p>
        </w:tc>
        <w:tc>
          <w:tcPr>
            <w:tcW w:w="2016" w:type="dxa"/>
            <w:vMerge w:val="restart"/>
            <w:tcBorders>
              <w:top w:val="single" w:color="auto" w:sz="4" w:space="0"/>
              <w:left w:val="single" w:color="000000" w:sz="4" w:space="0"/>
              <w:bottom w:val="single" w:color="000000" w:sz="4" w:space="0"/>
              <w:right w:val="nil"/>
            </w:tcBorders>
            <w:shd w:val="clear" w:color="auto" w:fill="auto"/>
            <w:noWrap/>
            <w:vAlign w:val="center"/>
          </w:tcPr>
          <w:p>
            <w:pPr>
              <w:jc w:val="center"/>
              <w:textAlignment w:val="center"/>
              <w:rPr>
                <w:rFonts w:ascii="宋体" w:hAnsi="宋体" w:eastAsia="宋体" w:cs="宋体"/>
                <w:color w:val="000000"/>
              </w:rPr>
            </w:pPr>
            <w:r>
              <w:rPr>
                <w:rFonts w:hint="eastAsia" w:ascii="宋体" w:hAnsi="宋体" w:eastAsia="宋体" w:cs="宋体"/>
                <w:color w:val="000000"/>
              </w:rPr>
              <w:t>3</w:t>
            </w:r>
          </w:p>
        </w:tc>
        <w:tc>
          <w:tcPr>
            <w:tcW w:w="1453" w:type="dxa"/>
            <w:tcBorders>
              <w:top w:val="single" w:color="auto" w:sz="4" w:space="0"/>
              <w:left w:val="single" w:color="000000" w:sz="4" w:space="0"/>
              <w:bottom w:val="nil"/>
              <w:right w:val="single" w:color="000000" w:sz="4" w:space="0"/>
            </w:tcBorders>
            <w:shd w:val="clear" w:color="auto" w:fill="auto"/>
            <w:vAlign w:val="center"/>
          </w:tcPr>
          <w:p>
            <w:pPr>
              <w:jc w:val="center"/>
              <w:textAlignment w:val="center"/>
              <w:rPr>
                <w:rFonts w:ascii="宋体" w:hAnsi="宋体" w:eastAsia="宋体" w:cs="宋体"/>
                <w:color w:val="000000"/>
              </w:rPr>
            </w:pPr>
            <w:r>
              <w:rPr>
                <w:rFonts w:hint="eastAsia" w:ascii="宋体" w:hAnsi="宋体" w:eastAsia="宋体" w:cs="宋体"/>
                <w:color w:val="000000"/>
              </w:rPr>
              <w:t>小学</w:t>
            </w:r>
            <w:r>
              <w:rPr>
                <w:rStyle w:val="30"/>
                <w:rFonts w:hint="eastAsia" w:ascii="宋体" w:hAnsi="宋体" w:eastAsia="宋体" w:cs="宋体"/>
              </w:rPr>
              <w:t>1680</w:t>
            </w:r>
          </w:p>
        </w:tc>
        <w:tc>
          <w:tcPr>
            <w:tcW w:w="1484" w:type="dxa"/>
            <w:vMerge w:val="restart"/>
            <w:tcBorders>
              <w:top w:val="single" w:color="auto" w:sz="4" w:space="0"/>
              <w:left w:val="nil"/>
              <w:bottom w:val="single" w:color="000000" w:sz="4" w:space="0"/>
              <w:right w:val="single" w:color="000000" w:sz="8" w:space="0"/>
            </w:tcBorders>
            <w:shd w:val="clear" w:color="auto" w:fill="auto"/>
            <w:vAlign w:val="center"/>
          </w:tcPr>
          <w:p>
            <w:pPr>
              <w:jc w:val="center"/>
              <w:textAlignment w:val="center"/>
              <w:rPr>
                <w:rFonts w:ascii="宋体" w:hAnsi="宋体" w:eastAsia="宋体" w:cs="宋体"/>
                <w:color w:val="000000"/>
              </w:rPr>
            </w:pPr>
            <w:r>
              <w:rPr>
                <w:rFonts w:hint="eastAsia" w:ascii="宋体" w:hAnsi="宋体" w:eastAsia="宋体" w:cs="宋体"/>
                <w:color w:val="000000"/>
              </w:rPr>
              <w:t>3480</w:t>
            </w:r>
          </w:p>
        </w:tc>
      </w:tr>
      <w:tr>
        <w:tblPrEx>
          <w:tblCellMar>
            <w:top w:w="0" w:type="dxa"/>
            <w:left w:w="108" w:type="dxa"/>
            <w:bottom w:w="0" w:type="dxa"/>
            <w:right w:w="108" w:type="dxa"/>
          </w:tblCellMar>
        </w:tblPrEx>
        <w:trPr>
          <w:trHeight w:val="300" w:hRule="atLeast"/>
        </w:trPr>
        <w:tc>
          <w:tcPr>
            <w:tcW w:w="581" w:type="dxa"/>
            <w:vMerge w:val="continue"/>
            <w:tcBorders>
              <w:top w:val="single" w:color="000000" w:sz="4" w:space="0"/>
              <w:left w:val="single" w:color="000000" w:sz="8"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rPr>
            </w:pPr>
          </w:p>
        </w:tc>
        <w:tc>
          <w:tcPr>
            <w:tcW w:w="21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rPr>
            </w:pPr>
          </w:p>
        </w:tc>
        <w:tc>
          <w:tcPr>
            <w:tcW w:w="9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rPr>
            </w:pPr>
          </w:p>
        </w:tc>
        <w:tc>
          <w:tcPr>
            <w:tcW w:w="13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rPr>
            </w:pPr>
          </w:p>
        </w:tc>
        <w:tc>
          <w:tcPr>
            <w:tcW w:w="3375" w:type="dxa"/>
            <w:vMerge w:val="continue"/>
            <w:tcBorders>
              <w:top w:val="single" w:color="000000" w:sz="4" w:space="0"/>
              <w:left w:val="single" w:color="000000" w:sz="4" w:space="0"/>
              <w:bottom w:val="single" w:color="000000" w:sz="4" w:space="0"/>
              <w:right w:val="single" w:color="000000" w:sz="4" w:space="0"/>
            </w:tcBorders>
            <w:shd w:val="clear" w:color="auto" w:fill="auto"/>
          </w:tcPr>
          <w:p>
            <w:pPr>
              <w:rPr>
                <w:rFonts w:ascii="宋体" w:hAnsi="宋体" w:eastAsia="宋体" w:cs="宋体"/>
                <w:color w:val="000000"/>
              </w:rPr>
            </w:pPr>
          </w:p>
        </w:tc>
        <w:tc>
          <w:tcPr>
            <w:tcW w:w="135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rPr>
            </w:pPr>
          </w:p>
        </w:tc>
        <w:tc>
          <w:tcPr>
            <w:tcW w:w="2016" w:type="dxa"/>
            <w:vMerge w:val="continue"/>
            <w:tcBorders>
              <w:top w:val="single" w:color="000000" w:sz="4" w:space="0"/>
              <w:left w:val="single" w:color="000000" w:sz="4" w:space="0"/>
              <w:bottom w:val="single" w:color="000000" w:sz="4" w:space="0"/>
              <w:right w:val="nil"/>
            </w:tcBorders>
            <w:shd w:val="clear" w:color="auto" w:fill="auto"/>
            <w:noWrap/>
            <w:vAlign w:val="center"/>
          </w:tcPr>
          <w:p>
            <w:pPr>
              <w:jc w:val="center"/>
              <w:rPr>
                <w:rFonts w:ascii="宋体" w:hAnsi="宋体" w:eastAsia="宋体" w:cs="宋体"/>
                <w:color w:val="000000"/>
              </w:rPr>
            </w:pPr>
          </w:p>
        </w:tc>
        <w:tc>
          <w:tcPr>
            <w:tcW w:w="1453" w:type="dxa"/>
            <w:tcBorders>
              <w:top w:val="nil"/>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000000"/>
              </w:rPr>
            </w:pPr>
            <w:r>
              <w:rPr>
                <w:rFonts w:hint="eastAsia" w:ascii="宋体" w:hAnsi="宋体" w:eastAsia="宋体" w:cs="宋体"/>
                <w:color w:val="000000"/>
              </w:rPr>
              <w:t>初中</w:t>
            </w:r>
            <w:r>
              <w:rPr>
                <w:rStyle w:val="30"/>
                <w:rFonts w:hint="eastAsia" w:ascii="宋体" w:hAnsi="宋体" w:eastAsia="宋体" w:cs="宋体"/>
              </w:rPr>
              <w:t>1800</w:t>
            </w:r>
          </w:p>
        </w:tc>
        <w:tc>
          <w:tcPr>
            <w:tcW w:w="1484" w:type="dxa"/>
            <w:vMerge w:val="continue"/>
            <w:tcBorders>
              <w:top w:val="single" w:color="000000" w:sz="4" w:space="0"/>
              <w:left w:val="nil"/>
              <w:bottom w:val="single" w:color="000000" w:sz="4" w:space="0"/>
              <w:right w:val="single" w:color="000000" w:sz="8" w:space="0"/>
            </w:tcBorders>
            <w:shd w:val="clear" w:color="auto" w:fill="auto"/>
            <w:vAlign w:val="center"/>
          </w:tcPr>
          <w:p>
            <w:pPr>
              <w:jc w:val="center"/>
              <w:rPr>
                <w:rFonts w:ascii="宋体" w:hAnsi="宋体" w:eastAsia="宋体" w:cs="宋体"/>
                <w:color w:val="000000"/>
              </w:rPr>
            </w:pPr>
          </w:p>
        </w:tc>
      </w:tr>
      <w:tr>
        <w:tblPrEx>
          <w:tblCellMar>
            <w:top w:w="0" w:type="dxa"/>
            <w:left w:w="108" w:type="dxa"/>
            <w:bottom w:w="0" w:type="dxa"/>
            <w:right w:w="108" w:type="dxa"/>
          </w:tblCellMar>
        </w:tblPrEx>
        <w:trPr>
          <w:trHeight w:val="680" w:hRule="atLeast"/>
        </w:trPr>
        <w:tc>
          <w:tcPr>
            <w:tcW w:w="581"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rPr>
            </w:pPr>
            <w:r>
              <w:rPr>
                <w:rFonts w:hint="eastAsia" w:ascii="宋体" w:hAnsi="宋体" w:eastAsia="宋体" w:cs="宋体"/>
                <w:color w:val="000000"/>
              </w:rPr>
              <w:t>15</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color w:val="000000"/>
              </w:rPr>
            </w:pPr>
            <w:r>
              <w:rPr>
                <w:rFonts w:hint="eastAsia" w:ascii="宋体" w:hAnsi="宋体" w:eastAsia="宋体" w:cs="宋体"/>
                <w:color w:val="000000"/>
              </w:rPr>
              <w:t>温州市建设小学（温州市旧城E-30c地块）</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000000"/>
              </w:rPr>
            </w:pPr>
            <w:r>
              <w:rPr>
                <w:rFonts w:hint="eastAsia" w:ascii="宋体" w:hAnsi="宋体" w:eastAsia="宋体" w:cs="宋体"/>
                <w:color w:val="000000"/>
              </w:rPr>
              <w:t>新建</w:t>
            </w:r>
          </w:p>
        </w:tc>
        <w:tc>
          <w:tcPr>
            <w:tcW w:w="13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000000"/>
              </w:rPr>
            </w:pPr>
            <w:r>
              <w:rPr>
                <w:rFonts w:hint="eastAsia" w:ascii="宋体" w:hAnsi="宋体" w:eastAsia="宋体" w:cs="宋体"/>
                <w:color w:val="000000"/>
              </w:rPr>
              <w:t>2022</w:t>
            </w:r>
          </w:p>
          <w:p>
            <w:pPr>
              <w:jc w:val="center"/>
              <w:textAlignment w:val="center"/>
              <w:rPr>
                <w:rFonts w:ascii="宋体" w:hAnsi="宋体" w:eastAsia="宋体" w:cs="宋体"/>
                <w:color w:val="000000"/>
              </w:rPr>
            </w:pPr>
            <w:r>
              <w:rPr>
                <w:rFonts w:hint="eastAsia" w:ascii="宋体" w:hAnsi="宋体" w:eastAsia="宋体" w:cs="宋体"/>
                <w:color w:val="000000"/>
              </w:rPr>
              <w:t>-2025</w:t>
            </w:r>
          </w:p>
        </w:tc>
        <w:tc>
          <w:tcPr>
            <w:tcW w:w="3375"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color w:val="000000"/>
              </w:rPr>
            </w:pPr>
            <w:r>
              <w:rPr>
                <w:rFonts w:hint="eastAsia" w:ascii="宋体" w:hAnsi="宋体" w:eastAsia="宋体" w:cs="宋体"/>
                <w:color w:val="000000"/>
              </w:rPr>
              <w:t>项目用地面积</w:t>
            </w:r>
            <w:r>
              <w:rPr>
                <w:rStyle w:val="30"/>
                <w:rFonts w:hint="eastAsia" w:ascii="宋体" w:hAnsi="宋体" w:eastAsia="宋体" w:cs="宋体"/>
              </w:rPr>
              <w:t xml:space="preserve"> 26565 </w:t>
            </w:r>
            <w:r>
              <w:rPr>
                <w:rStyle w:val="31"/>
                <w:rFonts w:hint="default"/>
              </w:rPr>
              <w:t>平方米，总建筑面积</w:t>
            </w:r>
            <w:r>
              <w:rPr>
                <w:rStyle w:val="30"/>
                <w:rFonts w:hint="eastAsia" w:ascii="宋体" w:hAnsi="宋体" w:eastAsia="宋体" w:cs="宋体"/>
              </w:rPr>
              <w:t>37900</w:t>
            </w:r>
            <w:r>
              <w:rPr>
                <w:rStyle w:val="31"/>
                <w:rFonts w:hint="default"/>
              </w:rPr>
              <w:t>平方米，班级规模为</w:t>
            </w:r>
            <w:r>
              <w:rPr>
                <w:rStyle w:val="30"/>
                <w:rFonts w:hint="eastAsia" w:ascii="宋体" w:hAnsi="宋体" w:eastAsia="宋体" w:cs="宋体"/>
              </w:rPr>
              <w:t xml:space="preserve"> 36</w:t>
            </w:r>
            <w:r>
              <w:rPr>
                <w:rStyle w:val="31"/>
                <w:rFonts w:hint="default"/>
              </w:rPr>
              <w:t>个。</w:t>
            </w:r>
          </w:p>
        </w:tc>
        <w:tc>
          <w:tcPr>
            <w:tcW w:w="13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rPr>
            </w:pPr>
            <w:r>
              <w:rPr>
                <w:rFonts w:hint="eastAsia" w:ascii="宋体" w:hAnsi="宋体" w:eastAsia="宋体" w:cs="宋体"/>
                <w:color w:val="000000"/>
              </w:rPr>
              <w:t>2.5</w:t>
            </w:r>
          </w:p>
        </w:tc>
        <w:tc>
          <w:tcPr>
            <w:tcW w:w="2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rPr>
            </w:pPr>
            <w:r>
              <w:rPr>
                <w:rFonts w:hint="eastAsia" w:ascii="宋体" w:hAnsi="宋体" w:eastAsia="宋体" w:cs="宋体"/>
                <w:color w:val="000000"/>
              </w:rPr>
              <w:t>2.5</w:t>
            </w:r>
          </w:p>
        </w:tc>
        <w:tc>
          <w:tcPr>
            <w:tcW w:w="1453" w:type="dxa"/>
            <w:tcBorders>
              <w:top w:val="nil"/>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rPr>
            </w:pPr>
            <w:r>
              <w:rPr>
                <w:rFonts w:hint="eastAsia" w:ascii="宋体" w:hAnsi="宋体" w:eastAsia="宋体" w:cs="宋体"/>
                <w:color w:val="000000"/>
              </w:rPr>
              <w:t>1620</w:t>
            </w:r>
          </w:p>
        </w:tc>
        <w:tc>
          <w:tcPr>
            <w:tcW w:w="1484"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jc w:val="center"/>
              <w:textAlignment w:val="center"/>
              <w:rPr>
                <w:rFonts w:ascii="宋体" w:hAnsi="宋体" w:eastAsia="宋体" w:cs="宋体"/>
                <w:color w:val="000000"/>
              </w:rPr>
            </w:pPr>
            <w:r>
              <w:rPr>
                <w:rFonts w:hint="eastAsia" w:ascii="宋体" w:hAnsi="宋体" w:eastAsia="宋体" w:cs="宋体"/>
                <w:color w:val="000000"/>
              </w:rPr>
              <w:t>1620</w:t>
            </w:r>
          </w:p>
        </w:tc>
      </w:tr>
      <w:tr>
        <w:tblPrEx>
          <w:tblCellMar>
            <w:top w:w="0" w:type="dxa"/>
            <w:left w:w="108" w:type="dxa"/>
            <w:bottom w:w="0" w:type="dxa"/>
            <w:right w:w="108" w:type="dxa"/>
          </w:tblCellMar>
        </w:tblPrEx>
        <w:trPr>
          <w:trHeight w:val="800" w:hRule="atLeast"/>
        </w:trPr>
        <w:tc>
          <w:tcPr>
            <w:tcW w:w="581"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rPr>
            </w:pPr>
            <w:r>
              <w:rPr>
                <w:rFonts w:hint="eastAsia" w:ascii="宋体" w:hAnsi="宋体" w:eastAsia="宋体" w:cs="宋体"/>
                <w:color w:val="000000"/>
              </w:rPr>
              <w:t>16</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color w:val="000000"/>
              </w:rPr>
            </w:pPr>
            <w:r>
              <w:rPr>
                <w:rFonts w:hint="eastAsia" w:ascii="宋体" w:hAnsi="宋体" w:eastAsia="宋体" w:cs="宋体"/>
                <w:color w:val="000000"/>
              </w:rPr>
              <w:t>温州市鹿城区广化街道</w:t>
            </w:r>
            <w:r>
              <w:rPr>
                <w:rStyle w:val="30"/>
                <w:rFonts w:hint="eastAsia" w:ascii="宋体" w:hAnsi="宋体" w:eastAsia="宋体" w:cs="宋体"/>
              </w:rPr>
              <w:t xml:space="preserve"> E-14</w:t>
            </w:r>
            <w:r>
              <w:rPr>
                <w:rStyle w:val="31"/>
                <w:rFonts w:hint="default"/>
              </w:rPr>
              <w:t>、</w:t>
            </w:r>
            <w:r>
              <w:rPr>
                <w:rStyle w:val="30"/>
                <w:rFonts w:hint="eastAsia" w:ascii="宋体" w:hAnsi="宋体" w:eastAsia="宋体" w:cs="宋体"/>
              </w:rPr>
              <w:t>E-17</w:t>
            </w:r>
            <w:r>
              <w:rPr>
                <w:rStyle w:val="31"/>
                <w:rFonts w:hint="default"/>
              </w:rPr>
              <w:t>地块小学建设工程</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000000"/>
              </w:rPr>
            </w:pPr>
            <w:r>
              <w:rPr>
                <w:rFonts w:hint="eastAsia" w:ascii="宋体" w:hAnsi="宋体" w:eastAsia="宋体" w:cs="宋体"/>
                <w:color w:val="000000"/>
              </w:rPr>
              <w:t>新建</w:t>
            </w:r>
          </w:p>
        </w:tc>
        <w:tc>
          <w:tcPr>
            <w:tcW w:w="13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000000"/>
              </w:rPr>
            </w:pPr>
            <w:r>
              <w:rPr>
                <w:rFonts w:hint="eastAsia" w:ascii="宋体" w:hAnsi="宋体" w:eastAsia="宋体" w:cs="宋体"/>
                <w:color w:val="000000"/>
              </w:rPr>
              <w:t>2022</w:t>
            </w:r>
          </w:p>
          <w:p>
            <w:pPr>
              <w:jc w:val="center"/>
              <w:textAlignment w:val="center"/>
              <w:rPr>
                <w:rFonts w:ascii="宋体" w:hAnsi="宋体" w:eastAsia="宋体" w:cs="宋体"/>
                <w:color w:val="000000"/>
              </w:rPr>
            </w:pPr>
            <w:r>
              <w:rPr>
                <w:rFonts w:hint="eastAsia" w:ascii="宋体" w:hAnsi="宋体" w:eastAsia="宋体" w:cs="宋体"/>
                <w:color w:val="000000"/>
              </w:rPr>
              <w:t>-2025</w:t>
            </w:r>
          </w:p>
        </w:tc>
        <w:tc>
          <w:tcPr>
            <w:tcW w:w="3375"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color w:val="000000"/>
              </w:rPr>
            </w:pPr>
            <w:r>
              <w:rPr>
                <w:rFonts w:hint="eastAsia" w:ascii="宋体" w:hAnsi="宋体" w:eastAsia="宋体" w:cs="宋体"/>
                <w:color w:val="000000"/>
              </w:rPr>
              <w:t>项目用地面积</w:t>
            </w:r>
            <w:r>
              <w:rPr>
                <w:rStyle w:val="30"/>
                <w:rFonts w:hint="eastAsia" w:ascii="宋体" w:hAnsi="宋体" w:eastAsia="宋体" w:cs="宋体"/>
              </w:rPr>
              <w:t>29334</w:t>
            </w:r>
            <w:r>
              <w:rPr>
                <w:rStyle w:val="31"/>
                <w:rFonts w:hint="default"/>
              </w:rPr>
              <w:t>平方米，总建筑面积</w:t>
            </w:r>
            <w:r>
              <w:rPr>
                <w:rStyle w:val="30"/>
                <w:rFonts w:hint="eastAsia" w:ascii="宋体" w:hAnsi="宋体" w:eastAsia="宋体" w:cs="宋体"/>
              </w:rPr>
              <w:t>45000</w:t>
            </w:r>
            <w:r>
              <w:rPr>
                <w:rStyle w:val="31"/>
                <w:rFonts w:hint="default"/>
              </w:rPr>
              <w:t>平方米，班级规模为</w:t>
            </w:r>
            <w:r>
              <w:rPr>
                <w:rStyle w:val="30"/>
                <w:rFonts w:hint="eastAsia" w:ascii="宋体" w:hAnsi="宋体" w:eastAsia="宋体" w:cs="宋体"/>
              </w:rPr>
              <w:t>42</w:t>
            </w:r>
            <w:r>
              <w:rPr>
                <w:rStyle w:val="31"/>
                <w:rFonts w:hint="default"/>
              </w:rPr>
              <w:t>个。</w:t>
            </w:r>
          </w:p>
        </w:tc>
        <w:tc>
          <w:tcPr>
            <w:tcW w:w="13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rPr>
            </w:pPr>
            <w:r>
              <w:rPr>
                <w:rFonts w:hint="eastAsia" w:ascii="宋体" w:hAnsi="宋体" w:eastAsia="宋体" w:cs="宋体"/>
                <w:color w:val="000000"/>
              </w:rPr>
              <w:t>3.5</w:t>
            </w:r>
          </w:p>
        </w:tc>
        <w:tc>
          <w:tcPr>
            <w:tcW w:w="2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rPr>
            </w:pPr>
            <w:r>
              <w:rPr>
                <w:rFonts w:hint="eastAsia" w:ascii="宋体" w:hAnsi="宋体" w:eastAsia="宋体" w:cs="宋体"/>
                <w:color w:val="000000"/>
              </w:rPr>
              <w:t>3.5</w:t>
            </w:r>
          </w:p>
        </w:tc>
        <w:tc>
          <w:tcPr>
            <w:tcW w:w="14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rPr>
            </w:pPr>
            <w:r>
              <w:rPr>
                <w:rFonts w:hint="eastAsia" w:ascii="宋体" w:hAnsi="宋体" w:eastAsia="宋体" w:cs="宋体"/>
                <w:color w:val="000000"/>
              </w:rPr>
              <w:t>1890</w:t>
            </w:r>
          </w:p>
        </w:tc>
        <w:tc>
          <w:tcPr>
            <w:tcW w:w="1484"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jc w:val="center"/>
              <w:textAlignment w:val="center"/>
              <w:rPr>
                <w:rFonts w:ascii="宋体" w:hAnsi="宋体" w:eastAsia="宋体" w:cs="宋体"/>
                <w:color w:val="000000"/>
              </w:rPr>
            </w:pPr>
            <w:r>
              <w:rPr>
                <w:rFonts w:hint="eastAsia" w:ascii="宋体" w:hAnsi="宋体" w:eastAsia="宋体" w:cs="宋体"/>
                <w:color w:val="000000"/>
              </w:rPr>
              <w:t>1890</w:t>
            </w:r>
          </w:p>
        </w:tc>
      </w:tr>
      <w:tr>
        <w:tblPrEx>
          <w:tblCellMar>
            <w:top w:w="0" w:type="dxa"/>
            <w:left w:w="108" w:type="dxa"/>
            <w:bottom w:w="0" w:type="dxa"/>
            <w:right w:w="108" w:type="dxa"/>
          </w:tblCellMar>
        </w:tblPrEx>
        <w:trPr>
          <w:trHeight w:val="660" w:hRule="atLeast"/>
        </w:trPr>
        <w:tc>
          <w:tcPr>
            <w:tcW w:w="581"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rPr>
            </w:pPr>
            <w:r>
              <w:rPr>
                <w:rFonts w:hint="eastAsia" w:ascii="宋体" w:hAnsi="宋体" w:eastAsia="宋体" w:cs="宋体"/>
                <w:color w:val="000000"/>
              </w:rPr>
              <w:t>17</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color w:val="000000"/>
              </w:rPr>
            </w:pPr>
            <w:r>
              <w:rPr>
                <w:rFonts w:hint="eastAsia" w:ascii="宋体" w:hAnsi="宋体" w:eastAsia="宋体" w:cs="宋体"/>
                <w:color w:val="000000"/>
              </w:rPr>
              <w:t>温州市建设小学五马校区改建工程</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000000"/>
              </w:rPr>
            </w:pPr>
            <w:r>
              <w:rPr>
                <w:rFonts w:hint="eastAsia" w:ascii="宋体" w:hAnsi="宋体" w:eastAsia="宋体" w:cs="宋体"/>
                <w:color w:val="000000"/>
              </w:rPr>
              <w:t>新建</w:t>
            </w:r>
          </w:p>
        </w:tc>
        <w:tc>
          <w:tcPr>
            <w:tcW w:w="13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000000"/>
              </w:rPr>
            </w:pPr>
            <w:r>
              <w:rPr>
                <w:rFonts w:hint="eastAsia" w:ascii="宋体" w:hAnsi="宋体" w:eastAsia="宋体" w:cs="宋体"/>
                <w:color w:val="000000"/>
              </w:rPr>
              <w:t>2021</w:t>
            </w:r>
          </w:p>
          <w:p>
            <w:pPr>
              <w:jc w:val="center"/>
              <w:textAlignment w:val="center"/>
              <w:rPr>
                <w:rFonts w:ascii="宋体" w:hAnsi="宋体" w:eastAsia="宋体" w:cs="宋体"/>
                <w:color w:val="000000"/>
              </w:rPr>
            </w:pPr>
            <w:r>
              <w:rPr>
                <w:rFonts w:hint="eastAsia" w:ascii="宋体" w:hAnsi="宋体" w:eastAsia="宋体" w:cs="宋体"/>
                <w:color w:val="000000"/>
              </w:rPr>
              <w:t>-2023</w:t>
            </w:r>
          </w:p>
        </w:tc>
        <w:tc>
          <w:tcPr>
            <w:tcW w:w="3375"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color w:val="000000"/>
              </w:rPr>
            </w:pPr>
            <w:r>
              <w:rPr>
                <w:rFonts w:hint="eastAsia" w:ascii="宋体" w:hAnsi="宋体" w:eastAsia="宋体" w:cs="宋体"/>
                <w:color w:val="000000"/>
              </w:rPr>
              <w:t>项目用地面积</w:t>
            </w:r>
            <w:r>
              <w:rPr>
                <w:rStyle w:val="30"/>
                <w:rFonts w:hint="eastAsia" w:ascii="宋体" w:hAnsi="宋体" w:eastAsia="宋体" w:cs="宋体"/>
              </w:rPr>
              <w:t>2975</w:t>
            </w:r>
            <w:r>
              <w:rPr>
                <w:rStyle w:val="31"/>
                <w:rFonts w:hint="default"/>
              </w:rPr>
              <w:t>平方米，总建筑面积</w:t>
            </w:r>
            <w:r>
              <w:rPr>
                <w:rStyle w:val="30"/>
                <w:rFonts w:hint="eastAsia" w:ascii="宋体" w:hAnsi="宋体" w:eastAsia="宋体" w:cs="宋体"/>
              </w:rPr>
              <w:t>3609</w:t>
            </w:r>
            <w:r>
              <w:rPr>
                <w:rStyle w:val="31"/>
                <w:rFonts w:hint="default"/>
              </w:rPr>
              <w:t>平方米，班级规模为</w:t>
            </w:r>
            <w:r>
              <w:rPr>
                <w:rStyle w:val="30"/>
                <w:rFonts w:hint="eastAsia" w:ascii="宋体" w:hAnsi="宋体" w:eastAsia="宋体" w:cs="宋体"/>
              </w:rPr>
              <w:t>12</w:t>
            </w:r>
            <w:r>
              <w:rPr>
                <w:rStyle w:val="31"/>
                <w:rFonts w:hint="default"/>
              </w:rPr>
              <w:t>个。</w:t>
            </w:r>
          </w:p>
        </w:tc>
        <w:tc>
          <w:tcPr>
            <w:tcW w:w="13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rPr>
            </w:pPr>
            <w:r>
              <w:rPr>
                <w:rFonts w:hint="eastAsia" w:ascii="宋体" w:hAnsi="宋体" w:eastAsia="宋体" w:cs="宋体"/>
                <w:color w:val="000000"/>
              </w:rPr>
              <w:t>0.25</w:t>
            </w:r>
          </w:p>
        </w:tc>
        <w:tc>
          <w:tcPr>
            <w:tcW w:w="2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rPr>
            </w:pPr>
            <w:r>
              <w:rPr>
                <w:rFonts w:hint="eastAsia" w:ascii="宋体" w:hAnsi="宋体" w:eastAsia="宋体" w:cs="宋体"/>
                <w:color w:val="000000"/>
              </w:rPr>
              <w:t>0.25</w:t>
            </w:r>
          </w:p>
        </w:tc>
        <w:tc>
          <w:tcPr>
            <w:tcW w:w="14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rPr>
            </w:pPr>
            <w:r>
              <w:rPr>
                <w:rFonts w:hint="eastAsia" w:ascii="宋体" w:hAnsi="宋体" w:eastAsia="宋体" w:cs="宋体"/>
                <w:color w:val="000000"/>
              </w:rPr>
              <w:t>420</w:t>
            </w:r>
          </w:p>
        </w:tc>
        <w:tc>
          <w:tcPr>
            <w:tcW w:w="1484"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jc w:val="center"/>
              <w:textAlignment w:val="center"/>
              <w:rPr>
                <w:rFonts w:ascii="宋体" w:hAnsi="宋体" w:eastAsia="宋体" w:cs="宋体"/>
                <w:color w:val="000000"/>
              </w:rPr>
            </w:pPr>
            <w:r>
              <w:rPr>
                <w:rFonts w:hint="eastAsia" w:ascii="宋体" w:hAnsi="宋体" w:eastAsia="宋体" w:cs="宋体"/>
                <w:color w:val="000000"/>
              </w:rPr>
              <w:t>0</w:t>
            </w:r>
          </w:p>
        </w:tc>
      </w:tr>
      <w:tr>
        <w:tblPrEx>
          <w:tblCellMar>
            <w:top w:w="0" w:type="dxa"/>
            <w:left w:w="108" w:type="dxa"/>
            <w:bottom w:w="0" w:type="dxa"/>
            <w:right w:w="108" w:type="dxa"/>
          </w:tblCellMar>
        </w:tblPrEx>
        <w:trPr>
          <w:trHeight w:val="540" w:hRule="atLeast"/>
        </w:trPr>
        <w:tc>
          <w:tcPr>
            <w:tcW w:w="581"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rPr>
            </w:pPr>
            <w:r>
              <w:rPr>
                <w:rFonts w:hint="eastAsia" w:ascii="宋体" w:hAnsi="宋体" w:eastAsia="宋体" w:cs="宋体"/>
                <w:color w:val="000000"/>
              </w:rPr>
              <w:t>18</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color w:val="000000"/>
              </w:rPr>
            </w:pPr>
            <w:r>
              <w:rPr>
                <w:rFonts w:hint="eastAsia" w:ascii="宋体" w:hAnsi="宋体" w:eastAsia="宋体" w:cs="宋体"/>
                <w:color w:val="000000"/>
              </w:rPr>
              <w:t>温州市蒲鞋市小学黎明校区改建工程</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000000"/>
              </w:rPr>
            </w:pPr>
            <w:r>
              <w:rPr>
                <w:rFonts w:hint="eastAsia" w:ascii="宋体" w:hAnsi="宋体" w:eastAsia="宋体" w:cs="宋体"/>
                <w:color w:val="000000"/>
              </w:rPr>
              <w:t>新建</w:t>
            </w:r>
          </w:p>
        </w:tc>
        <w:tc>
          <w:tcPr>
            <w:tcW w:w="13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000000"/>
              </w:rPr>
            </w:pPr>
            <w:r>
              <w:rPr>
                <w:rFonts w:hint="eastAsia" w:ascii="宋体" w:hAnsi="宋体" w:eastAsia="宋体" w:cs="宋体"/>
                <w:color w:val="000000"/>
              </w:rPr>
              <w:t>2022</w:t>
            </w:r>
          </w:p>
          <w:p>
            <w:pPr>
              <w:jc w:val="center"/>
              <w:textAlignment w:val="center"/>
              <w:rPr>
                <w:rFonts w:ascii="宋体" w:hAnsi="宋体" w:eastAsia="宋体" w:cs="宋体"/>
                <w:color w:val="000000"/>
              </w:rPr>
            </w:pPr>
            <w:r>
              <w:rPr>
                <w:rFonts w:hint="eastAsia" w:ascii="宋体" w:hAnsi="宋体" w:eastAsia="宋体" w:cs="宋体"/>
                <w:color w:val="000000"/>
              </w:rPr>
              <w:t>-2024</w:t>
            </w:r>
          </w:p>
        </w:tc>
        <w:tc>
          <w:tcPr>
            <w:tcW w:w="3375"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color w:val="000000"/>
              </w:rPr>
            </w:pPr>
            <w:r>
              <w:rPr>
                <w:rFonts w:hint="eastAsia" w:ascii="宋体" w:hAnsi="宋体" w:eastAsia="宋体" w:cs="宋体"/>
                <w:color w:val="000000"/>
              </w:rPr>
              <w:t>项目用地面积</w:t>
            </w:r>
            <w:r>
              <w:rPr>
                <w:rStyle w:val="30"/>
                <w:rFonts w:hint="eastAsia" w:ascii="宋体" w:hAnsi="宋体" w:eastAsia="宋体" w:cs="宋体"/>
              </w:rPr>
              <w:t xml:space="preserve"> 5653.29 </w:t>
            </w:r>
            <w:r>
              <w:rPr>
                <w:rStyle w:val="31"/>
                <w:rFonts w:hint="default"/>
              </w:rPr>
              <w:t>平方米，总建筑面积</w:t>
            </w:r>
            <w:r>
              <w:rPr>
                <w:rStyle w:val="30"/>
                <w:rFonts w:hint="eastAsia" w:ascii="宋体" w:hAnsi="宋体" w:eastAsia="宋体" w:cs="宋体"/>
              </w:rPr>
              <w:t>18012</w:t>
            </w:r>
            <w:r>
              <w:rPr>
                <w:rStyle w:val="31"/>
                <w:rFonts w:hint="default"/>
              </w:rPr>
              <w:t>平方米，班级规模</w:t>
            </w:r>
            <w:r>
              <w:rPr>
                <w:rStyle w:val="30"/>
                <w:rFonts w:hint="eastAsia" w:ascii="宋体" w:hAnsi="宋体" w:eastAsia="宋体" w:cs="宋体"/>
              </w:rPr>
              <w:t xml:space="preserve"> 18 </w:t>
            </w:r>
            <w:r>
              <w:rPr>
                <w:rStyle w:val="31"/>
                <w:rFonts w:hint="default"/>
              </w:rPr>
              <w:t>个。</w:t>
            </w:r>
          </w:p>
        </w:tc>
        <w:tc>
          <w:tcPr>
            <w:tcW w:w="13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rPr>
            </w:pPr>
            <w:r>
              <w:rPr>
                <w:rFonts w:hint="eastAsia" w:ascii="宋体" w:hAnsi="宋体" w:eastAsia="宋体" w:cs="宋体"/>
                <w:color w:val="000000"/>
              </w:rPr>
              <w:t>1.19</w:t>
            </w:r>
          </w:p>
        </w:tc>
        <w:tc>
          <w:tcPr>
            <w:tcW w:w="2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rPr>
            </w:pPr>
            <w:r>
              <w:rPr>
                <w:rFonts w:hint="eastAsia" w:ascii="宋体" w:hAnsi="宋体" w:eastAsia="宋体" w:cs="宋体"/>
                <w:color w:val="000000"/>
              </w:rPr>
              <w:t>1.19</w:t>
            </w:r>
          </w:p>
        </w:tc>
        <w:tc>
          <w:tcPr>
            <w:tcW w:w="14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rPr>
            </w:pPr>
            <w:r>
              <w:rPr>
                <w:rFonts w:hint="eastAsia" w:ascii="宋体" w:hAnsi="宋体" w:eastAsia="宋体" w:cs="宋体"/>
                <w:color w:val="000000"/>
              </w:rPr>
              <w:t>630</w:t>
            </w:r>
          </w:p>
        </w:tc>
        <w:tc>
          <w:tcPr>
            <w:tcW w:w="1484"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jc w:val="center"/>
              <w:textAlignment w:val="center"/>
              <w:rPr>
                <w:rFonts w:ascii="宋体" w:hAnsi="宋体" w:eastAsia="宋体" w:cs="宋体"/>
                <w:color w:val="000000"/>
              </w:rPr>
            </w:pPr>
            <w:r>
              <w:rPr>
                <w:rFonts w:hint="eastAsia" w:ascii="宋体" w:hAnsi="宋体" w:eastAsia="宋体" w:cs="宋体"/>
                <w:color w:val="000000"/>
              </w:rPr>
              <w:t>0</w:t>
            </w:r>
          </w:p>
        </w:tc>
      </w:tr>
      <w:tr>
        <w:tblPrEx>
          <w:tblCellMar>
            <w:top w:w="0" w:type="dxa"/>
            <w:left w:w="108" w:type="dxa"/>
            <w:bottom w:w="0" w:type="dxa"/>
            <w:right w:w="108" w:type="dxa"/>
          </w:tblCellMar>
        </w:tblPrEx>
        <w:trPr>
          <w:trHeight w:val="640" w:hRule="atLeast"/>
        </w:trPr>
        <w:tc>
          <w:tcPr>
            <w:tcW w:w="581"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rPr>
            </w:pPr>
            <w:r>
              <w:rPr>
                <w:rFonts w:hint="eastAsia" w:ascii="宋体" w:hAnsi="宋体" w:eastAsia="宋体" w:cs="宋体"/>
                <w:color w:val="000000"/>
              </w:rPr>
              <w:t>19</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color w:val="000000"/>
              </w:rPr>
            </w:pPr>
            <w:r>
              <w:rPr>
                <w:rFonts w:hint="eastAsia" w:ascii="宋体" w:hAnsi="宋体" w:eastAsia="宋体" w:cs="宋体"/>
                <w:color w:val="000000"/>
              </w:rPr>
              <w:t>温州市鹿城区中央涂单元控规D-33地块小学建设工程（暂名）</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000000"/>
              </w:rPr>
            </w:pPr>
            <w:r>
              <w:rPr>
                <w:rFonts w:hint="eastAsia" w:ascii="宋体" w:hAnsi="宋体" w:eastAsia="宋体" w:cs="宋体"/>
                <w:color w:val="000000"/>
              </w:rPr>
              <w:t>新建</w:t>
            </w:r>
          </w:p>
        </w:tc>
        <w:tc>
          <w:tcPr>
            <w:tcW w:w="13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000000"/>
              </w:rPr>
            </w:pPr>
            <w:r>
              <w:rPr>
                <w:rFonts w:hint="eastAsia" w:ascii="宋体" w:hAnsi="宋体" w:eastAsia="宋体" w:cs="宋体"/>
                <w:color w:val="000000"/>
              </w:rPr>
              <w:t>2022</w:t>
            </w:r>
          </w:p>
          <w:p>
            <w:pPr>
              <w:jc w:val="center"/>
              <w:textAlignment w:val="center"/>
              <w:rPr>
                <w:rFonts w:ascii="宋体" w:hAnsi="宋体" w:eastAsia="宋体" w:cs="宋体"/>
                <w:color w:val="000000"/>
              </w:rPr>
            </w:pPr>
            <w:r>
              <w:rPr>
                <w:rFonts w:hint="eastAsia" w:ascii="宋体" w:hAnsi="宋体" w:eastAsia="宋体" w:cs="宋体"/>
                <w:color w:val="000000"/>
              </w:rPr>
              <w:t>-2024</w:t>
            </w:r>
          </w:p>
        </w:tc>
        <w:tc>
          <w:tcPr>
            <w:tcW w:w="3375" w:type="dxa"/>
            <w:tcBorders>
              <w:top w:val="single" w:color="000000" w:sz="4" w:space="0"/>
              <w:left w:val="single" w:color="000000" w:sz="4" w:space="0"/>
              <w:bottom w:val="single" w:color="000000" w:sz="4" w:space="0"/>
              <w:right w:val="single" w:color="000000" w:sz="4" w:space="0"/>
            </w:tcBorders>
            <w:shd w:val="clear" w:color="auto" w:fill="auto"/>
          </w:tcPr>
          <w:p>
            <w:pPr>
              <w:textAlignment w:val="top"/>
              <w:rPr>
                <w:rFonts w:ascii="宋体" w:hAnsi="宋体" w:eastAsia="宋体" w:cs="宋体"/>
                <w:color w:val="000000"/>
              </w:rPr>
            </w:pPr>
            <w:r>
              <w:rPr>
                <w:rFonts w:hint="eastAsia" w:ascii="宋体" w:hAnsi="宋体" w:eastAsia="宋体" w:cs="宋体"/>
                <w:color w:val="000000"/>
              </w:rPr>
              <w:t>项目用地面积</w:t>
            </w:r>
            <w:r>
              <w:rPr>
                <w:rStyle w:val="30"/>
                <w:rFonts w:hint="eastAsia" w:ascii="宋体" w:hAnsi="宋体" w:eastAsia="宋体" w:cs="宋体"/>
              </w:rPr>
              <w:t>23358</w:t>
            </w:r>
            <w:r>
              <w:rPr>
                <w:rStyle w:val="31"/>
                <w:rFonts w:hint="default"/>
              </w:rPr>
              <w:t>平方米，总建筑面积</w:t>
            </w:r>
            <w:r>
              <w:rPr>
                <w:rStyle w:val="30"/>
                <w:rFonts w:hint="eastAsia" w:ascii="宋体" w:hAnsi="宋体" w:eastAsia="宋体" w:cs="宋体"/>
              </w:rPr>
              <w:t>33358</w:t>
            </w:r>
            <w:r>
              <w:rPr>
                <w:rStyle w:val="31"/>
                <w:rFonts w:hint="default"/>
              </w:rPr>
              <w:t>平方米，班级规模为</w:t>
            </w:r>
            <w:r>
              <w:rPr>
                <w:rStyle w:val="30"/>
                <w:rFonts w:hint="eastAsia" w:ascii="宋体" w:hAnsi="宋体" w:eastAsia="宋体" w:cs="宋体"/>
              </w:rPr>
              <w:t>30</w:t>
            </w:r>
            <w:r>
              <w:rPr>
                <w:rStyle w:val="31"/>
                <w:rFonts w:hint="default"/>
              </w:rPr>
              <w:t>个。</w:t>
            </w:r>
          </w:p>
        </w:tc>
        <w:tc>
          <w:tcPr>
            <w:tcW w:w="13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rPr>
            </w:pPr>
            <w:r>
              <w:rPr>
                <w:rFonts w:hint="eastAsia" w:ascii="宋体" w:hAnsi="宋体" w:eastAsia="宋体" w:cs="宋体"/>
                <w:color w:val="000000"/>
              </w:rPr>
              <w:t>2.33</w:t>
            </w:r>
          </w:p>
        </w:tc>
        <w:tc>
          <w:tcPr>
            <w:tcW w:w="2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rPr>
            </w:pPr>
            <w:r>
              <w:rPr>
                <w:rFonts w:hint="eastAsia" w:ascii="宋体" w:hAnsi="宋体" w:eastAsia="宋体" w:cs="宋体"/>
                <w:color w:val="000000"/>
              </w:rPr>
              <w:t>2.33</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000000"/>
              </w:rPr>
            </w:pPr>
            <w:r>
              <w:rPr>
                <w:rFonts w:hint="eastAsia" w:ascii="宋体" w:hAnsi="宋体" w:eastAsia="宋体" w:cs="宋体"/>
                <w:color w:val="000000"/>
              </w:rPr>
              <w:t>1050</w:t>
            </w:r>
          </w:p>
        </w:tc>
        <w:tc>
          <w:tcPr>
            <w:tcW w:w="1484"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textAlignment w:val="center"/>
              <w:rPr>
                <w:rFonts w:ascii="宋体" w:hAnsi="宋体" w:eastAsia="宋体" w:cs="宋体"/>
                <w:color w:val="000000"/>
              </w:rPr>
            </w:pPr>
            <w:r>
              <w:rPr>
                <w:rFonts w:hint="eastAsia" w:ascii="宋体" w:hAnsi="宋体" w:eastAsia="宋体" w:cs="宋体"/>
                <w:color w:val="000000"/>
              </w:rPr>
              <w:t>240</w:t>
            </w:r>
          </w:p>
        </w:tc>
      </w:tr>
      <w:tr>
        <w:tblPrEx>
          <w:tblCellMar>
            <w:top w:w="0" w:type="dxa"/>
            <w:left w:w="108" w:type="dxa"/>
            <w:bottom w:w="0" w:type="dxa"/>
            <w:right w:w="108" w:type="dxa"/>
          </w:tblCellMar>
        </w:tblPrEx>
        <w:trPr>
          <w:trHeight w:val="520" w:hRule="atLeast"/>
        </w:trPr>
        <w:tc>
          <w:tcPr>
            <w:tcW w:w="581"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rPr>
            </w:pPr>
            <w:r>
              <w:rPr>
                <w:rFonts w:hint="eastAsia" w:ascii="宋体" w:hAnsi="宋体" w:eastAsia="宋体" w:cs="宋体"/>
                <w:color w:val="000000"/>
              </w:rPr>
              <w:t>20</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color w:val="000000"/>
              </w:rPr>
            </w:pPr>
            <w:r>
              <w:rPr>
                <w:rFonts w:hint="eastAsia" w:ascii="宋体" w:hAnsi="宋体" w:eastAsia="宋体" w:cs="宋体"/>
                <w:color w:val="000000"/>
              </w:rPr>
              <w:t>温州市杨府山第一小学（暂名）</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000000"/>
              </w:rPr>
            </w:pPr>
            <w:r>
              <w:rPr>
                <w:rFonts w:hint="eastAsia" w:ascii="宋体" w:hAnsi="宋体" w:eastAsia="宋体" w:cs="宋体"/>
                <w:color w:val="000000"/>
              </w:rPr>
              <w:t>新建</w:t>
            </w:r>
          </w:p>
        </w:tc>
        <w:tc>
          <w:tcPr>
            <w:tcW w:w="13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000000"/>
              </w:rPr>
            </w:pPr>
            <w:r>
              <w:rPr>
                <w:rFonts w:hint="eastAsia" w:ascii="宋体" w:hAnsi="宋体" w:eastAsia="宋体" w:cs="宋体"/>
                <w:color w:val="000000"/>
              </w:rPr>
              <w:t>2022</w:t>
            </w:r>
          </w:p>
          <w:p>
            <w:pPr>
              <w:jc w:val="center"/>
              <w:textAlignment w:val="center"/>
              <w:rPr>
                <w:rFonts w:ascii="宋体" w:hAnsi="宋体" w:eastAsia="宋体" w:cs="宋体"/>
                <w:color w:val="000000"/>
              </w:rPr>
            </w:pPr>
            <w:r>
              <w:rPr>
                <w:rFonts w:hint="eastAsia" w:ascii="宋体" w:hAnsi="宋体" w:eastAsia="宋体" w:cs="宋体"/>
                <w:color w:val="000000"/>
              </w:rPr>
              <w:t>-2025</w:t>
            </w:r>
          </w:p>
        </w:tc>
        <w:tc>
          <w:tcPr>
            <w:tcW w:w="3375"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color w:val="000000"/>
              </w:rPr>
            </w:pPr>
            <w:r>
              <w:rPr>
                <w:rFonts w:hint="eastAsia" w:ascii="宋体" w:hAnsi="宋体" w:eastAsia="宋体" w:cs="宋体"/>
                <w:color w:val="000000"/>
              </w:rPr>
              <w:t>项目用地面积</w:t>
            </w:r>
            <w:r>
              <w:rPr>
                <w:rStyle w:val="30"/>
                <w:rFonts w:hint="eastAsia" w:ascii="宋体" w:hAnsi="宋体" w:eastAsia="宋体" w:cs="宋体"/>
              </w:rPr>
              <w:t>27293</w:t>
            </w:r>
            <w:r>
              <w:rPr>
                <w:rStyle w:val="31"/>
                <w:rFonts w:hint="default"/>
              </w:rPr>
              <w:t>平方米，建筑面积地上</w:t>
            </w:r>
            <w:r>
              <w:rPr>
                <w:rStyle w:val="30"/>
                <w:rFonts w:hint="eastAsia" w:ascii="宋体" w:hAnsi="宋体" w:eastAsia="宋体" w:cs="宋体"/>
              </w:rPr>
              <w:t>26000</w:t>
            </w:r>
            <w:r>
              <w:rPr>
                <w:rStyle w:val="31"/>
                <w:rFonts w:hint="default"/>
              </w:rPr>
              <w:t>平方米，地下25000平方米，班级</w:t>
            </w:r>
            <w:r>
              <w:rPr>
                <w:rStyle w:val="31"/>
              </w:rPr>
              <w:t>规模</w:t>
            </w:r>
            <w:r>
              <w:rPr>
                <w:rStyle w:val="30"/>
                <w:rFonts w:hint="eastAsia" w:ascii="宋体" w:hAnsi="宋体" w:eastAsia="宋体" w:cs="宋体"/>
              </w:rPr>
              <w:t>42个</w:t>
            </w:r>
            <w:r>
              <w:rPr>
                <w:rStyle w:val="31"/>
                <w:rFonts w:hint="default"/>
              </w:rPr>
              <w:t>。</w:t>
            </w:r>
          </w:p>
        </w:tc>
        <w:tc>
          <w:tcPr>
            <w:tcW w:w="13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rPr>
            </w:pPr>
            <w:r>
              <w:rPr>
                <w:rFonts w:hint="eastAsia" w:ascii="宋体" w:hAnsi="宋体" w:eastAsia="宋体" w:cs="宋体"/>
                <w:color w:val="000000"/>
              </w:rPr>
              <w:t>3.9</w:t>
            </w:r>
          </w:p>
        </w:tc>
        <w:tc>
          <w:tcPr>
            <w:tcW w:w="2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rPr>
            </w:pPr>
            <w:r>
              <w:rPr>
                <w:rFonts w:hint="eastAsia" w:ascii="宋体" w:hAnsi="宋体" w:eastAsia="宋体" w:cs="宋体"/>
                <w:color w:val="000000"/>
              </w:rPr>
              <w:t>3.9</w:t>
            </w:r>
          </w:p>
        </w:tc>
        <w:tc>
          <w:tcPr>
            <w:tcW w:w="14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rPr>
            </w:pPr>
            <w:r>
              <w:rPr>
                <w:rFonts w:hint="eastAsia" w:ascii="宋体" w:hAnsi="宋体" w:eastAsia="宋体" w:cs="宋体"/>
                <w:color w:val="000000"/>
              </w:rPr>
              <w:t>1470</w:t>
            </w:r>
          </w:p>
        </w:tc>
        <w:tc>
          <w:tcPr>
            <w:tcW w:w="1484"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jc w:val="center"/>
              <w:textAlignment w:val="center"/>
              <w:rPr>
                <w:rFonts w:ascii="宋体" w:hAnsi="宋体" w:eastAsia="宋体" w:cs="宋体"/>
                <w:color w:val="000000"/>
              </w:rPr>
            </w:pPr>
            <w:r>
              <w:rPr>
                <w:rFonts w:hint="eastAsia" w:ascii="宋体" w:hAnsi="宋体" w:eastAsia="宋体" w:cs="宋体"/>
                <w:color w:val="000000"/>
              </w:rPr>
              <w:t>1470</w:t>
            </w:r>
          </w:p>
        </w:tc>
      </w:tr>
      <w:tr>
        <w:tblPrEx>
          <w:tblCellMar>
            <w:top w:w="0" w:type="dxa"/>
            <w:left w:w="108" w:type="dxa"/>
            <w:bottom w:w="0" w:type="dxa"/>
            <w:right w:w="108" w:type="dxa"/>
          </w:tblCellMar>
        </w:tblPrEx>
        <w:trPr>
          <w:trHeight w:val="580" w:hRule="atLeast"/>
        </w:trPr>
        <w:tc>
          <w:tcPr>
            <w:tcW w:w="581"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rPr>
            </w:pPr>
            <w:r>
              <w:rPr>
                <w:rFonts w:hint="eastAsia" w:ascii="宋体" w:hAnsi="宋体" w:eastAsia="宋体" w:cs="宋体"/>
                <w:color w:val="000000"/>
              </w:rPr>
              <w:t>21</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color w:val="000000"/>
              </w:rPr>
            </w:pPr>
            <w:r>
              <w:rPr>
                <w:rFonts w:hint="eastAsia" w:ascii="宋体" w:hAnsi="宋体" w:eastAsia="宋体" w:cs="宋体"/>
                <w:color w:val="000000"/>
              </w:rPr>
              <w:t>杨府山第二小学（</w:t>
            </w:r>
            <w:r>
              <w:rPr>
                <w:rStyle w:val="31"/>
                <w:rFonts w:hint="default"/>
              </w:rPr>
              <w:t>暂名）</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000000"/>
              </w:rPr>
            </w:pPr>
            <w:r>
              <w:rPr>
                <w:rFonts w:hint="eastAsia" w:ascii="宋体" w:hAnsi="宋体" w:eastAsia="宋体" w:cs="宋体"/>
                <w:color w:val="000000"/>
              </w:rPr>
              <w:t>新建</w:t>
            </w:r>
          </w:p>
        </w:tc>
        <w:tc>
          <w:tcPr>
            <w:tcW w:w="13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000000"/>
              </w:rPr>
            </w:pPr>
            <w:r>
              <w:rPr>
                <w:rFonts w:hint="eastAsia" w:ascii="宋体" w:hAnsi="宋体" w:eastAsia="宋体" w:cs="宋体"/>
                <w:color w:val="000000"/>
              </w:rPr>
              <w:t>2024</w:t>
            </w:r>
          </w:p>
          <w:p>
            <w:pPr>
              <w:jc w:val="center"/>
              <w:textAlignment w:val="center"/>
              <w:rPr>
                <w:rFonts w:ascii="宋体" w:hAnsi="宋体" w:eastAsia="宋体" w:cs="宋体"/>
                <w:color w:val="000000"/>
              </w:rPr>
            </w:pPr>
            <w:r>
              <w:rPr>
                <w:rFonts w:hint="eastAsia" w:ascii="宋体" w:hAnsi="宋体" w:eastAsia="宋体" w:cs="宋体"/>
                <w:color w:val="000000"/>
              </w:rPr>
              <w:t>-2026</w:t>
            </w:r>
          </w:p>
        </w:tc>
        <w:tc>
          <w:tcPr>
            <w:tcW w:w="3375"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color w:val="000000"/>
              </w:rPr>
            </w:pPr>
            <w:r>
              <w:rPr>
                <w:rFonts w:hint="eastAsia" w:ascii="宋体" w:hAnsi="宋体" w:eastAsia="宋体" w:cs="宋体"/>
                <w:color w:val="000000"/>
              </w:rPr>
              <w:t>项目用地面积</w:t>
            </w:r>
            <w:r>
              <w:rPr>
                <w:rStyle w:val="30"/>
                <w:rFonts w:hint="eastAsia" w:ascii="宋体" w:hAnsi="宋体" w:eastAsia="宋体" w:cs="宋体"/>
              </w:rPr>
              <w:t xml:space="preserve">20001 </w:t>
            </w:r>
            <w:r>
              <w:rPr>
                <w:rStyle w:val="31"/>
                <w:rFonts w:hint="default"/>
              </w:rPr>
              <w:t>平方米，总建筑面积</w:t>
            </w:r>
            <w:r>
              <w:rPr>
                <w:rStyle w:val="30"/>
                <w:rFonts w:hint="eastAsia" w:ascii="宋体" w:hAnsi="宋体" w:eastAsia="宋体" w:cs="宋体"/>
              </w:rPr>
              <w:t>26000</w:t>
            </w:r>
            <w:r>
              <w:rPr>
                <w:rStyle w:val="31"/>
                <w:rFonts w:hint="default"/>
              </w:rPr>
              <w:t>平方米，班级规模为</w:t>
            </w:r>
            <w:r>
              <w:rPr>
                <w:rStyle w:val="30"/>
                <w:rFonts w:hint="eastAsia" w:ascii="宋体" w:hAnsi="宋体" w:eastAsia="宋体" w:cs="宋体"/>
              </w:rPr>
              <w:t xml:space="preserve"> 24 </w:t>
            </w:r>
            <w:r>
              <w:rPr>
                <w:rStyle w:val="31"/>
                <w:rFonts w:hint="default"/>
              </w:rPr>
              <w:t>个。</w:t>
            </w:r>
          </w:p>
        </w:tc>
        <w:tc>
          <w:tcPr>
            <w:tcW w:w="13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rPr>
            </w:pPr>
            <w:r>
              <w:rPr>
                <w:rFonts w:hint="eastAsia" w:ascii="宋体" w:hAnsi="宋体" w:eastAsia="宋体" w:cs="宋体"/>
                <w:color w:val="000000"/>
              </w:rPr>
              <w:t>1.5</w:t>
            </w:r>
          </w:p>
        </w:tc>
        <w:tc>
          <w:tcPr>
            <w:tcW w:w="2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rPr>
            </w:pPr>
            <w:r>
              <w:rPr>
                <w:rFonts w:hint="eastAsia" w:ascii="宋体" w:hAnsi="宋体" w:eastAsia="宋体" w:cs="宋体"/>
                <w:color w:val="000000"/>
              </w:rPr>
              <w:t>1.5</w:t>
            </w:r>
          </w:p>
        </w:tc>
        <w:tc>
          <w:tcPr>
            <w:tcW w:w="14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rPr>
            </w:pPr>
            <w:r>
              <w:rPr>
                <w:rFonts w:hint="eastAsia" w:ascii="宋体" w:hAnsi="宋体" w:eastAsia="宋体" w:cs="宋体"/>
                <w:color w:val="000000"/>
              </w:rPr>
              <w:t>840</w:t>
            </w:r>
          </w:p>
        </w:tc>
        <w:tc>
          <w:tcPr>
            <w:tcW w:w="1484"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jc w:val="center"/>
              <w:textAlignment w:val="center"/>
              <w:rPr>
                <w:rFonts w:ascii="宋体" w:hAnsi="宋体" w:eastAsia="宋体" w:cs="宋体"/>
                <w:color w:val="000000"/>
              </w:rPr>
            </w:pPr>
            <w:r>
              <w:rPr>
                <w:rFonts w:hint="eastAsia" w:ascii="宋体" w:hAnsi="宋体" w:eastAsia="宋体" w:cs="宋体"/>
                <w:color w:val="000000"/>
              </w:rPr>
              <w:t>840</w:t>
            </w:r>
          </w:p>
        </w:tc>
      </w:tr>
      <w:tr>
        <w:tblPrEx>
          <w:tblCellMar>
            <w:top w:w="0" w:type="dxa"/>
            <w:left w:w="108" w:type="dxa"/>
            <w:bottom w:w="0" w:type="dxa"/>
            <w:right w:w="108" w:type="dxa"/>
          </w:tblCellMar>
        </w:tblPrEx>
        <w:trPr>
          <w:trHeight w:val="619" w:hRule="atLeast"/>
        </w:trPr>
        <w:tc>
          <w:tcPr>
            <w:tcW w:w="581"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rPr>
            </w:pPr>
            <w:r>
              <w:rPr>
                <w:rFonts w:hint="eastAsia" w:ascii="宋体" w:hAnsi="宋体" w:eastAsia="宋体" w:cs="宋体"/>
                <w:color w:val="000000"/>
              </w:rPr>
              <w:t>22</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color w:val="000000"/>
              </w:rPr>
            </w:pPr>
            <w:r>
              <w:rPr>
                <w:rFonts w:hint="eastAsia" w:ascii="宋体" w:hAnsi="宋体" w:eastAsia="宋体" w:cs="宋体"/>
                <w:color w:val="000000"/>
              </w:rPr>
              <w:t>温州市鹿城区中央涂单元</w:t>
            </w:r>
            <w:r>
              <w:rPr>
                <w:rStyle w:val="30"/>
                <w:rFonts w:hint="eastAsia" w:ascii="宋体" w:hAnsi="宋体" w:eastAsia="宋体" w:cs="宋体"/>
              </w:rPr>
              <w:t>C-23</w:t>
            </w:r>
            <w:r>
              <w:rPr>
                <w:rStyle w:val="31"/>
                <w:rFonts w:hint="default"/>
              </w:rPr>
              <w:t>地块小学建设工程（中央涂小学暂名）</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000000"/>
              </w:rPr>
            </w:pPr>
            <w:r>
              <w:rPr>
                <w:rFonts w:hint="eastAsia" w:ascii="宋体" w:hAnsi="宋体" w:eastAsia="宋体" w:cs="宋体"/>
                <w:color w:val="000000"/>
              </w:rPr>
              <w:t>新建</w:t>
            </w:r>
          </w:p>
        </w:tc>
        <w:tc>
          <w:tcPr>
            <w:tcW w:w="13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000000"/>
              </w:rPr>
            </w:pPr>
            <w:r>
              <w:rPr>
                <w:rFonts w:hint="eastAsia" w:ascii="宋体" w:hAnsi="宋体" w:eastAsia="宋体" w:cs="宋体"/>
                <w:color w:val="000000"/>
              </w:rPr>
              <w:t>2023</w:t>
            </w:r>
          </w:p>
          <w:p>
            <w:pPr>
              <w:jc w:val="center"/>
              <w:textAlignment w:val="center"/>
              <w:rPr>
                <w:rFonts w:ascii="宋体" w:hAnsi="宋体" w:eastAsia="宋体" w:cs="宋体"/>
                <w:color w:val="000000"/>
              </w:rPr>
            </w:pPr>
            <w:r>
              <w:rPr>
                <w:rFonts w:hint="eastAsia" w:ascii="宋体" w:hAnsi="宋体" w:eastAsia="宋体" w:cs="宋体"/>
                <w:color w:val="000000"/>
              </w:rPr>
              <w:t>-2026</w:t>
            </w:r>
          </w:p>
        </w:tc>
        <w:tc>
          <w:tcPr>
            <w:tcW w:w="3375" w:type="dxa"/>
            <w:tcBorders>
              <w:top w:val="single" w:color="000000" w:sz="4" w:space="0"/>
              <w:left w:val="single" w:color="000000" w:sz="4" w:space="0"/>
              <w:bottom w:val="single" w:color="000000" w:sz="4" w:space="0"/>
              <w:right w:val="single" w:color="000000" w:sz="4" w:space="0"/>
            </w:tcBorders>
            <w:shd w:val="clear" w:color="auto" w:fill="auto"/>
          </w:tcPr>
          <w:p>
            <w:pPr>
              <w:textAlignment w:val="top"/>
              <w:rPr>
                <w:rFonts w:ascii="宋体" w:hAnsi="宋体" w:eastAsia="宋体" w:cs="宋体"/>
                <w:color w:val="000000"/>
              </w:rPr>
            </w:pPr>
            <w:r>
              <w:rPr>
                <w:rFonts w:hint="eastAsia" w:ascii="宋体" w:hAnsi="宋体" w:eastAsia="宋体" w:cs="宋体"/>
                <w:color w:val="000000"/>
              </w:rPr>
              <w:t>项目用地面积</w:t>
            </w:r>
            <w:r>
              <w:rPr>
                <w:rStyle w:val="30"/>
                <w:rFonts w:hint="eastAsia" w:ascii="宋体" w:hAnsi="宋体" w:eastAsia="宋体" w:cs="宋体"/>
              </w:rPr>
              <w:t xml:space="preserve"> 24131 </w:t>
            </w:r>
            <w:r>
              <w:rPr>
                <w:rStyle w:val="31"/>
                <w:rFonts w:hint="default"/>
              </w:rPr>
              <w:t>平方米，总建筑面积</w:t>
            </w:r>
            <w:r>
              <w:rPr>
                <w:rStyle w:val="30"/>
                <w:rFonts w:hint="eastAsia" w:ascii="宋体" w:hAnsi="宋体" w:eastAsia="宋体" w:cs="宋体"/>
              </w:rPr>
              <w:t>27468</w:t>
            </w:r>
            <w:r>
              <w:rPr>
                <w:rStyle w:val="31"/>
                <w:rFonts w:hint="default"/>
              </w:rPr>
              <w:t>平方米，班级规模为</w:t>
            </w:r>
            <w:r>
              <w:rPr>
                <w:rStyle w:val="30"/>
                <w:rFonts w:hint="eastAsia" w:ascii="宋体" w:hAnsi="宋体" w:eastAsia="宋体" w:cs="宋体"/>
              </w:rPr>
              <w:t>24</w:t>
            </w:r>
            <w:r>
              <w:rPr>
                <w:rStyle w:val="31"/>
                <w:rFonts w:hint="default"/>
              </w:rPr>
              <w:t>个。</w:t>
            </w:r>
          </w:p>
        </w:tc>
        <w:tc>
          <w:tcPr>
            <w:tcW w:w="13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rPr>
            </w:pPr>
            <w:r>
              <w:rPr>
                <w:rFonts w:hint="eastAsia" w:ascii="宋体" w:hAnsi="宋体" w:eastAsia="宋体" w:cs="宋体"/>
                <w:color w:val="000000"/>
              </w:rPr>
              <w:t>1.5</w:t>
            </w:r>
          </w:p>
        </w:tc>
        <w:tc>
          <w:tcPr>
            <w:tcW w:w="2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rPr>
            </w:pPr>
            <w:r>
              <w:rPr>
                <w:rFonts w:hint="eastAsia" w:ascii="宋体" w:hAnsi="宋体" w:eastAsia="宋体" w:cs="宋体"/>
                <w:color w:val="000000"/>
              </w:rPr>
              <w:t>1.5</w:t>
            </w:r>
          </w:p>
        </w:tc>
        <w:tc>
          <w:tcPr>
            <w:tcW w:w="14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rPr>
            </w:pPr>
            <w:r>
              <w:rPr>
                <w:rFonts w:hint="eastAsia" w:ascii="宋体" w:hAnsi="宋体" w:eastAsia="宋体" w:cs="宋体"/>
                <w:color w:val="000000"/>
              </w:rPr>
              <w:t>1080</w:t>
            </w:r>
          </w:p>
        </w:tc>
        <w:tc>
          <w:tcPr>
            <w:tcW w:w="1484"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jc w:val="center"/>
              <w:textAlignment w:val="center"/>
              <w:rPr>
                <w:rFonts w:ascii="宋体" w:hAnsi="宋体" w:eastAsia="宋体" w:cs="宋体"/>
                <w:color w:val="000000"/>
              </w:rPr>
            </w:pPr>
            <w:r>
              <w:rPr>
                <w:rFonts w:hint="eastAsia" w:ascii="宋体" w:hAnsi="宋体" w:eastAsia="宋体" w:cs="宋体"/>
                <w:color w:val="000000"/>
              </w:rPr>
              <w:t>1080</w:t>
            </w:r>
          </w:p>
        </w:tc>
      </w:tr>
      <w:tr>
        <w:tblPrEx>
          <w:tblCellMar>
            <w:top w:w="0" w:type="dxa"/>
            <w:left w:w="108" w:type="dxa"/>
            <w:bottom w:w="0" w:type="dxa"/>
            <w:right w:w="108" w:type="dxa"/>
          </w:tblCellMar>
        </w:tblPrEx>
        <w:trPr>
          <w:trHeight w:val="630" w:hRule="atLeast"/>
        </w:trPr>
        <w:tc>
          <w:tcPr>
            <w:tcW w:w="581"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rPr>
            </w:pPr>
            <w:r>
              <w:rPr>
                <w:rFonts w:hint="eastAsia" w:ascii="宋体" w:hAnsi="宋体" w:eastAsia="宋体" w:cs="宋体"/>
                <w:color w:val="000000"/>
              </w:rPr>
              <w:t>23</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color w:val="000000"/>
              </w:rPr>
            </w:pPr>
            <w:r>
              <w:rPr>
                <w:rFonts w:hint="eastAsia" w:ascii="宋体" w:hAnsi="宋体" w:eastAsia="宋体" w:cs="宋体"/>
                <w:color w:val="000000"/>
              </w:rPr>
              <w:t>南汇小学改扩建工程</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000000"/>
              </w:rPr>
            </w:pPr>
            <w:r>
              <w:rPr>
                <w:rFonts w:hint="eastAsia" w:ascii="宋体" w:hAnsi="宋体" w:eastAsia="宋体" w:cs="宋体"/>
                <w:color w:val="000000"/>
              </w:rPr>
              <w:t>新建</w:t>
            </w:r>
          </w:p>
        </w:tc>
        <w:tc>
          <w:tcPr>
            <w:tcW w:w="13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000000"/>
              </w:rPr>
            </w:pPr>
            <w:r>
              <w:rPr>
                <w:rFonts w:hint="eastAsia" w:ascii="宋体" w:hAnsi="宋体" w:eastAsia="宋体" w:cs="宋体"/>
                <w:color w:val="000000"/>
              </w:rPr>
              <w:t>2022</w:t>
            </w:r>
          </w:p>
          <w:p>
            <w:pPr>
              <w:jc w:val="center"/>
              <w:textAlignment w:val="center"/>
              <w:rPr>
                <w:rFonts w:ascii="宋体" w:hAnsi="宋体" w:eastAsia="宋体" w:cs="宋体"/>
                <w:color w:val="000000"/>
              </w:rPr>
            </w:pPr>
            <w:r>
              <w:rPr>
                <w:rFonts w:hint="eastAsia" w:ascii="宋体" w:hAnsi="宋体" w:eastAsia="宋体" w:cs="宋体"/>
                <w:color w:val="000000"/>
              </w:rPr>
              <w:t>-2025</w:t>
            </w:r>
          </w:p>
        </w:tc>
        <w:tc>
          <w:tcPr>
            <w:tcW w:w="3375" w:type="dxa"/>
            <w:tcBorders>
              <w:top w:val="single" w:color="000000" w:sz="4" w:space="0"/>
              <w:left w:val="single" w:color="000000" w:sz="4" w:space="0"/>
              <w:bottom w:val="single" w:color="000000" w:sz="4" w:space="0"/>
              <w:right w:val="single" w:color="000000" w:sz="4" w:space="0"/>
            </w:tcBorders>
            <w:shd w:val="clear" w:color="auto" w:fill="auto"/>
          </w:tcPr>
          <w:p>
            <w:pPr>
              <w:textAlignment w:val="top"/>
              <w:rPr>
                <w:rFonts w:ascii="宋体" w:hAnsi="宋体" w:eastAsia="宋体" w:cs="宋体"/>
                <w:color w:val="000000"/>
              </w:rPr>
            </w:pPr>
            <w:r>
              <w:rPr>
                <w:rFonts w:hint="eastAsia" w:ascii="宋体" w:hAnsi="宋体" w:eastAsia="宋体" w:cs="宋体"/>
                <w:color w:val="000000"/>
              </w:rPr>
              <w:t>用地面积</w:t>
            </w:r>
            <w:r>
              <w:rPr>
                <w:rStyle w:val="30"/>
                <w:rFonts w:hint="eastAsia" w:ascii="宋体" w:hAnsi="宋体" w:eastAsia="宋体" w:cs="宋体"/>
              </w:rPr>
              <w:t>41100</w:t>
            </w:r>
            <w:r>
              <w:rPr>
                <w:rStyle w:val="31"/>
                <w:rFonts w:hint="default"/>
              </w:rPr>
              <w:t>平方米，</w:t>
            </w:r>
            <w:r>
              <w:rPr>
                <w:rStyle w:val="31"/>
              </w:rPr>
              <w:t>总</w:t>
            </w:r>
            <w:r>
              <w:rPr>
                <w:rStyle w:val="31"/>
                <w:rFonts w:hint="default"/>
              </w:rPr>
              <w:t>建筑面积</w:t>
            </w:r>
            <w:r>
              <w:rPr>
                <w:rStyle w:val="30"/>
                <w:rFonts w:hint="eastAsia" w:ascii="宋体" w:hAnsi="宋体" w:eastAsia="宋体" w:cs="宋体"/>
              </w:rPr>
              <w:t>43970</w:t>
            </w:r>
            <w:r>
              <w:rPr>
                <w:rStyle w:val="31"/>
                <w:rFonts w:hint="default"/>
              </w:rPr>
              <w:t>平方米，班级规模为</w:t>
            </w:r>
            <w:r>
              <w:rPr>
                <w:rStyle w:val="30"/>
                <w:rFonts w:hint="eastAsia" w:ascii="宋体" w:hAnsi="宋体" w:eastAsia="宋体" w:cs="宋体"/>
              </w:rPr>
              <w:t>42</w:t>
            </w:r>
            <w:r>
              <w:rPr>
                <w:rStyle w:val="31"/>
                <w:rFonts w:hint="default"/>
              </w:rPr>
              <w:t>个。</w:t>
            </w:r>
          </w:p>
        </w:tc>
        <w:tc>
          <w:tcPr>
            <w:tcW w:w="13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rPr>
            </w:pPr>
            <w:r>
              <w:rPr>
                <w:rFonts w:hint="eastAsia" w:ascii="宋体" w:hAnsi="宋体" w:eastAsia="宋体" w:cs="宋体"/>
                <w:color w:val="000000"/>
              </w:rPr>
              <w:t>1.9</w:t>
            </w:r>
          </w:p>
        </w:tc>
        <w:tc>
          <w:tcPr>
            <w:tcW w:w="2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rPr>
            </w:pPr>
            <w:r>
              <w:rPr>
                <w:rFonts w:hint="eastAsia" w:ascii="宋体" w:hAnsi="宋体" w:eastAsia="宋体" w:cs="宋体"/>
                <w:color w:val="000000"/>
              </w:rPr>
              <w:t>1.9</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000000"/>
              </w:rPr>
            </w:pPr>
            <w:r>
              <w:rPr>
                <w:rFonts w:hint="eastAsia" w:ascii="宋体" w:hAnsi="宋体" w:eastAsia="宋体" w:cs="宋体"/>
                <w:color w:val="000000"/>
              </w:rPr>
              <w:t>1890</w:t>
            </w:r>
          </w:p>
        </w:tc>
        <w:tc>
          <w:tcPr>
            <w:tcW w:w="1484"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textAlignment w:val="center"/>
              <w:rPr>
                <w:rFonts w:ascii="宋体" w:hAnsi="宋体" w:eastAsia="宋体" w:cs="宋体"/>
                <w:color w:val="000000"/>
              </w:rPr>
            </w:pPr>
            <w:r>
              <w:rPr>
                <w:rFonts w:hint="eastAsia" w:ascii="宋体" w:hAnsi="宋体" w:eastAsia="宋体" w:cs="宋体"/>
                <w:color w:val="000000"/>
              </w:rPr>
              <w:t>810</w:t>
            </w:r>
          </w:p>
        </w:tc>
      </w:tr>
      <w:tr>
        <w:tblPrEx>
          <w:tblCellMar>
            <w:top w:w="0" w:type="dxa"/>
            <w:left w:w="108" w:type="dxa"/>
            <w:bottom w:w="0" w:type="dxa"/>
            <w:right w:w="108" w:type="dxa"/>
          </w:tblCellMar>
        </w:tblPrEx>
        <w:trPr>
          <w:trHeight w:val="600" w:hRule="atLeast"/>
        </w:trPr>
        <w:tc>
          <w:tcPr>
            <w:tcW w:w="581"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rPr>
            </w:pPr>
            <w:r>
              <w:rPr>
                <w:rFonts w:hint="eastAsia" w:ascii="宋体" w:hAnsi="宋体" w:eastAsia="宋体" w:cs="宋体"/>
                <w:color w:val="000000"/>
              </w:rPr>
              <w:t>24</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color w:val="000000"/>
              </w:rPr>
            </w:pPr>
            <w:r>
              <w:rPr>
                <w:rFonts w:hint="eastAsia" w:ascii="宋体" w:hAnsi="宋体" w:eastAsia="宋体" w:cs="宋体"/>
                <w:color w:val="000000"/>
              </w:rPr>
              <w:t>南郊随迁子女学校</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000000"/>
              </w:rPr>
            </w:pPr>
            <w:r>
              <w:rPr>
                <w:rFonts w:hint="eastAsia" w:ascii="宋体" w:hAnsi="宋体" w:eastAsia="宋体" w:cs="宋体"/>
                <w:color w:val="000000"/>
              </w:rPr>
              <w:t>新建</w:t>
            </w:r>
          </w:p>
        </w:tc>
        <w:tc>
          <w:tcPr>
            <w:tcW w:w="13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000000"/>
              </w:rPr>
            </w:pPr>
            <w:r>
              <w:rPr>
                <w:rFonts w:hint="eastAsia" w:ascii="宋体" w:hAnsi="宋体" w:eastAsia="宋体" w:cs="宋体"/>
                <w:color w:val="000000"/>
              </w:rPr>
              <w:t>2022</w:t>
            </w:r>
          </w:p>
          <w:p>
            <w:pPr>
              <w:jc w:val="center"/>
              <w:textAlignment w:val="center"/>
              <w:rPr>
                <w:rFonts w:ascii="宋体" w:hAnsi="宋体" w:eastAsia="宋体" w:cs="宋体"/>
                <w:color w:val="000000"/>
              </w:rPr>
            </w:pPr>
            <w:r>
              <w:rPr>
                <w:rFonts w:hint="eastAsia" w:ascii="宋体" w:hAnsi="宋体" w:eastAsia="宋体" w:cs="宋体"/>
                <w:color w:val="000000"/>
              </w:rPr>
              <w:t>-2024</w:t>
            </w:r>
          </w:p>
        </w:tc>
        <w:tc>
          <w:tcPr>
            <w:tcW w:w="3375"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color w:val="000000"/>
              </w:rPr>
            </w:pPr>
            <w:r>
              <w:rPr>
                <w:rFonts w:hint="eastAsia" w:ascii="宋体" w:hAnsi="宋体" w:eastAsia="宋体" w:cs="宋体"/>
                <w:color w:val="000000"/>
              </w:rPr>
              <w:t>项目用地面积</w:t>
            </w:r>
            <w:r>
              <w:rPr>
                <w:rStyle w:val="30"/>
                <w:rFonts w:hint="eastAsia" w:ascii="宋体" w:hAnsi="宋体" w:eastAsia="宋体" w:cs="宋体"/>
              </w:rPr>
              <w:t xml:space="preserve"> 13340 </w:t>
            </w:r>
            <w:r>
              <w:rPr>
                <w:rStyle w:val="31"/>
                <w:rFonts w:hint="default"/>
              </w:rPr>
              <w:t>平方米，总建筑面积</w:t>
            </w:r>
            <w:r>
              <w:rPr>
                <w:rStyle w:val="30"/>
                <w:rFonts w:hint="eastAsia" w:ascii="宋体" w:hAnsi="宋体" w:eastAsia="宋体" w:cs="宋体"/>
              </w:rPr>
              <w:t xml:space="preserve"> 10672</w:t>
            </w:r>
            <w:r>
              <w:rPr>
                <w:rStyle w:val="31"/>
                <w:rFonts w:hint="default"/>
              </w:rPr>
              <w:t>平方米，班级规模为</w:t>
            </w:r>
            <w:r>
              <w:rPr>
                <w:rStyle w:val="30"/>
                <w:rFonts w:hint="eastAsia" w:ascii="宋体" w:hAnsi="宋体" w:eastAsia="宋体" w:cs="宋体"/>
              </w:rPr>
              <w:t xml:space="preserve"> 24 </w:t>
            </w:r>
            <w:r>
              <w:rPr>
                <w:rStyle w:val="31"/>
                <w:rFonts w:hint="default"/>
              </w:rPr>
              <w:t>个。</w:t>
            </w:r>
          </w:p>
        </w:tc>
        <w:tc>
          <w:tcPr>
            <w:tcW w:w="13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rPr>
            </w:pPr>
            <w:r>
              <w:rPr>
                <w:rFonts w:hint="eastAsia" w:ascii="宋体" w:hAnsi="宋体" w:eastAsia="宋体" w:cs="宋体"/>
                <w:color w:val="000000"/>
              </w:rPr>
              <w:t>0.7</w:t>
            </w:r>
          </w:p>
        </w:tc>
        <w:tc>
          <w:tcPr>
            <w:tcW w:w="2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rPr>
            </w:pPr>
            <w:r>
              <w:rPr>
                <w:rFonts w:hint="eastAsia" w:ascii="宋体" w:hAnsi="宋体" w:eastAsia="宋体" w:cs="宋体"/>
                <w:color w:val="000000"/>
              </w:rPr>
              <w:t>0.7</w:t>
            </w:r>
          </w:p>
        </w:tc>
        <w:tc>
          <w:tcPr>
            <w:tcW w:w="14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rPr>
            </w:pPr>
            <w:r>
              <w:rPr>
                <w:rFonts w:hint="eastAsia" w:ascii="宋体" w:hAnsi="宋体" w:eastAsia="宋体" w:cs="宋体"/>
                <w:color w:val="000000"/>
              </w:rPr>
              <w:t>840</w:t>
            </w:r>
          </w:p>
        </w:tc>
        <w:tc>
          <w:tcPr>
            <w:tcW w:w="1484"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jc w:val="center"/>
              <w:textAlignment w:val="center"/>
              <w:rPr>
                <w:rFonts w:ascii="宋体" w:hAnsi="宋体" w:eastAsia="宋体" w:cs="宋体"/>
                <w:color w:val="000000"/>
              </w:rPr>
            </w:pPr>
            <w:r>
              <w:rPr>
                <w:rFonts w:hint="eastAsia" w:ascii="宋体" w:hAnsi="宋体" w:eastAsia="宋体" w:cs="宋体"/>
                <w:color w:val="000000"/>
              </w:rPr>
              <w:t>840</w:t>
            </w:r>
          </w:p>
        </w:tc>
      </w:tr>
      <w:tr>
        <w:tblPrEx>
          <w:tblCellMar>
            <w:top w:w="0" w:type="dxa"/>
            <w:left w:w="108" w:type="dxa"/>
            <w:bottom w:w="0" w:type="dxa"/>
            <w:right w:w="108" w:type="dxa"/>
          </w:tblCellMar>
        </w:tblPrEx>
        <w:trPr>
          <w:trHeight w:val="1253" w:hRule="atLeast"/>
        </w:trPr>
        <w:tc>
          <w:tcPr>
            <w:tcW w:w="581"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rPr>
            </w:pPr>
            <w:r>
              <w:rPr>
                <w:rFonts w:hint="eastAsia" w:ascii="宋体" w:hAnsi="宋体" w:eastAsia="宋体" w:cs="宋体"/>
                <w:color w:val="000000"/>
              </w:rPr>
              <w:t>25</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color w:val="000000"/>
              </w:rPr>
            </w:pPr>
            <w:r>
              <w:rPr>
                <w:rFonts w:hint="eastAsia" w:ascii="宋体" w:hAnsi="宋体" w:eastAsia="宋体" w:cs="宋体"/>
                <w:color w:val="000000"/>
              </w:rPr>
              <w:t>广场路小学上陡门校区二期扩建工程</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000000"/>
              </w:rPr>
            </w:pPr>
            <w:r>
              <w:rPr>
                <w:rFonts w:hint="eastAsia" w:ascii="宋体" w:hAnsi="宋体" w:eastAsia="宋体" w:cs="宋体"/>
                <w:color w:val="000000"/>
              </w:rPr>
              <w:t>新建</w:t>
            </w:r>
          </w:p>
        </w:tc>
        <w:tc>
          <w:tcPr>
            <w:tcW w:w="13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000000"/>
              </w:rPr>
            </w:pPr>
            <w:r>
              <w:rPr>
                <w:rFonts w:hint="eastAsia" w:ascii="宋体" w:hAnsi="宋体" w:eastAsia="宋体" w:cs="宋体"/>
                <w:color w:val="000000"/>
              </w:rPr>
              <w:t>2022</w:t>
            </w:r>
          </w:p>
          <w:p>
            <w:pPr>
              <w:jc w:val="center"/>
              <w:textAlignment w:val="center"/>
              <w:rPr>
                <w:rFonts w:ascii="宋体" w:hAnsi="宋体" w:eastAsia="宋体" w:cs="宋体"/>
                <w:color w:val="000000"/>
              </w:rPr>
            </w:pPr>
            <w:r>
              <w:rPr>
                <w:rFonts w:hint="eastAsia" w:ascii="宋体" w:hAnsi="宋体" w:eastAsia="宋体" w:cs="宋体"/>
                <w:color w:val="000000"/>
              </w:rPr>
              <w:t>-2024</w:t>
            </w:r>
          </w:p>
        </w:tc>
        <w:tc>
          <w:tcPr>
            <w:tcW w:w="3375" w:type="dxa"/>
            <w:tcBorders>
              <w:top w:val="single" w:color="000000" w:sz="4" w:space="0"/>
              <w:left w:val="single" w:color="000000" w:sz="4" w:space="0"/>
              <w:bottom w:val="single" w:color="000000" w:sz="4" w:space="0"/>
              <w:right w:val="single" w:color="000000" w:sz="4" w:space="0"/>
            </w:tcBorders>
            <w:shd w:val="clear" w:color="auto" w:fill="auto"/>
          </w:tcPr>
          <w:p>
            <w:pPr>
              <w:textAlignment w:val="top"/>
              <w:rPr>
                <w:rFonts w:ascii="宋体" w:hAnsi="宋体" w:eastAsia="宋体" w:cs="宋体"/>
                <w:color w:val="000000"/>
              </w:rPr>
            </w:pPr>
            <w:r>
              <w:rPr>
                <w:rFonts w:hint="eastAsia" w:ascii="宋体" w:hAnsi="宋体" w:eastAsia="宋体" w:cs="宋体"/>
                <w:color w:val="000000"/>
              </w:rPr>
              <w:t>用地面积</w:t>
            </w:r>
            <w:r>
              <w:rPr>
                <w:rStyle w:val="30"/>
                <w:rFonts w:hint="eastAsia" w:ascii="宋体" w:hAnsi="宋体" w:eastAsia="宋体" w:cs="宋体"/>
              </w:rPr>
              <w:t xml:space="preserve">21407 </w:t>
            </w:r>
            <w:r>
              <w:rPr>
                <w:rStyle w:val="31"/>
                <w:rFonts w:hint="default"/>
              </w:rPr>
              <w:t>平方米，</w:t>
            </w:r>
            <w:r>
              <w:rPr>
                <w:rStyle w:val="31"/>
              </w:rPr>
              <w:t>总</w:t>
            </w:r>
            <w:r>
              <w:rPr>
                <w:rStyle w:val="31"/>
                <w:rFonts w:hint="default"/>
              </w:rPr>
              <w:t>建筑面积</w:t>
            </w:r>
            <w:r>
              <w:rPr>
                <w:rStyle w:val="30"/>
                <w:rFonts w:hint="eastAsia" w:ascii="宋体" w:hAnsi="宋体" w:eastAsia="宋体" w:cs="宋体"/>
              </w:rPr>
              <w:t>23000</w:t>
            </w:r>
            <w:r>
              <w:rPr>
                <w:rStyle w:val="31"/>
                <w:rFonts w:hint="default"/>
              </w:rPr>
              <w:t>平方米，其中新建建筑</w:t>
            </w:r>
            <w:r>
              <w:rPr>
                <w:rStyle w:val="30"/>
                <w:rFonts w:hint="eastAsia" w:ascii="宋体" w:hAnsi="宋体" w:eastAsia="宋体" w:cs="宋体"/>
              </w:rPr>
              <w:t xml:space="preserve"> 11000 </w:t>
            </w:r>
            <w:r>
              <w:rPr>
                <w:rStyle w:val="31"/>
                <w:rFonts w:hint="default"/>
              </w:rPr>
              <w:t>平方米，班级规模为</w:t>
            </w:r>
            <w:r>
              <w:rPr>
                <w:rStyle w:val="30"/>
                <w:rFonts w:hint="eastAsia" w:ascii="宋体" w:hAnsi="宋体" w:eastAsia="宋体" w:cs="宋体"/>
              </w:rPr>
              <w:t xml:space="preserve"> 30 </w:t>
            </w:r>
            <w:r>
              <w:rPr>
                <w:rStyle w:val="31"/>
                <w:rFonts w:hint="default"/>
              </w:rPr>
              <w:t>个。</w:t>
            </w:r>
          </w:p>
        </w:tc>
        <w:tc>
          <w:tcPr>
            <w:tcW w:w="13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rPr>
            </w:pPr>
            <w:r>
              <w:rPr>
                <w:rFonts w:hint="eastAsia" w:ascii="宋体" w:hAnsi="宋体" w:eastAsia="宋体" w:cs="宋体"/>
                <w:color w:val="000000"/>
              </w:rPr>
              <w:t>1.2</w:t>
            </w:r>
          </w:p>
        </w:tc>
        <w:tc>
          <w:tcPr>
            <w:tcW w:w="2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rPr>
            </w:pPr>
            <w:r>
              <w:rPr>
                <w:rFonts w:hint="eastAsia" w:ascii="宋体" w:hAnsi="宋体" w:eastAsia="宋体" w:cs="宋体"/>
                <w:color w:val="000000"/>
              </w:rPr>
              <w:t>1.2</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000000"/>
              </w:rPr>
            </w:pPr>
            <w:r>
              <w:rPr>
                <w:rFonts w:hint="eastAsia" w:ascii="宋体" w:hAnsi="宋体" w:eastAsia="宋体" w:cs="宋体"/>
                <w:color w:val="000000"/>
              </w:rPr>
              <w:t>1050</w:t>
            </w:r>
          </w:p>
        </w:tc>
        <w:tc>
          <w:tcPr>
            <w:tcW w:w="1484"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textAlignment w:val="center"/>
              <w:rPr>
                <w:rFonts w:ascii="宋体" w:hAnsi="宋体" w:eastAsia="宋体" w:cs="宋体"/>
                <w:color w:val="000000"/>
              </w:rPr>
            </w:pPr>
            <w:r>
              <w:rPr>
                <w:rFonts w:hint="eastAsia" w:ascii="宋体" w:hAnsi="宋体" w:eastAsia="宋体" w:cs="宋体"/>
                <w:color w:val="000000"/>
              </w:rPr>
              <w:t>210</w:t>
            </w:r>
          </w:p>
        </w:tc>
      </w:tr>
      <w:tr>
        <w:tblPrEx>
          <w:tblCellMar>
            <w:top w:w="0" w:type="dxa"/>
            <w:left w:w="108" w:type="dxa"/>
            <w:bottom w:w="0" w:type="dxa"/>
            <w:right w:w="108" w:type="dxa"/>
          </w:tblCellMar>
        </w:tblPrEx>
        <w:trPr>
          <w:trHeight w:val="600" w:hRule="atLeast"/>
        </w:trPr>
        <w:tc>
          <w:tcPr>
            <w:tcW w:w="581"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rPr>
            </w:pPr>
            <w:r>
              <w:rPr>
                <w:rFonts w:hint="eastAsia" w:ascii="宋体" w:hAnsi="宋体" w:eastAsia="宋体" w:cs="宋体"/>
                <w:color w:val="000000"/>
              </w:rPr>
              <w:t>26</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color w:val="000000"/>
              </w:rPr>
            </w:pPr>
            <w:r>
              <w:rPr>
                <w:rFonts w:hint="eastAsia" w:ascii="宋体" w:hAnsi="宋体" w:eastAsia="宋体" w:cs="宋体"/>
                <w:color w:val="000000"/>
              </w:rPr>
              <w:t>双屿中心小学新校工程</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000000"/>
              </w:rPr>
            </w:pPr>
            <w:r>
              <w:rPr>
                <w:rFonts w:hint="eastAsia" w:ascii="宋体" w:hAnsi="宋体" w:eastAsia="宋体" w:cs="宋体"/>
                <w:color w:val="000000"/>
              </w:rPr>
              <w:t>新建</w:t>
            </w:r>
          </w:p>
        </w:tc>
        <w:tc>
          <w:tcPr>
            <w:tcW w:w="13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000000"/>
              </w:rPr>
            </w:pPr>
            <w:r>
              <w:rPr>
                <w:rFonts w:hint="eastAsia" w:ascii="宋体" w:hAnsi="宋体" w:eastAsia="宋体" w:cs="宋体"/>
                <w:color w:val="000000"/>
              </w:rPr>
              <w:t>2022</w:t>
            </w:r>
          </w:p>
          <w:p>
            <w:pPr>
              <w:jc w:val="center"/>
              <w:textAlignment w:val="center"/>
              <w:rPr>
                <w:rFonts w:ascii="宋体" w:hAnsi="宋体" w:eastAsia="宋体" w:cs="宋体"/>
                <w:color w:val="000000"/>
              </w:rPr>
            </w:pPr>
            <w:r>
              <w:rPr>
                <w:rFonts w:hint="eastAsia" w:ascii="宋体" w:hAnsi="宋体" w:eastAsia="宋体" w:cs="宋体"/>
                <w:color w:val="000000"/>
              </w:rPr>
              <w:t>-2025</w:t>
            </w:r>
          </w:p>
        </w:tc>
        <w:tc>
          <w:tcPr>
            <w:tcW w:w="3375"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color w:val="000000"/>
              </w:rPr>
            </w:pPr>
            <w:r>
              <w:rPr>
                <w:rFonts w:hint="eastAsia" w:ascii="宋体" w:hAnsi="宋体" w:eastAsia="宋体" w:cs="宋体"/>
                <w:color w:val="000000"/>
              </w:rPr>
              <w:t>项目用地面积</w:t>
            </w:r>
            <w:r>
              <w:rPr>
                <w:rStyle w:val="30"/>
                <w:rFonts w:hint="eastAsia" w:ascii="宋体" w:hAnsi="宋体" w:eastAsia="宋体" w:cs="宋体"/>
              </w:rPr>
              <w:t xml:space="preserve"> 30850 </w:t>
            </w:r>
            <w:r>
              <w:rPr>
                <w:rStyle w:val="31"/>
                <w:rFonts w:hint="default"/>
              </w:rPr>
              <w:t>平方米，总建筑面积</w:t>
            </w:r>
            <w:r>
              <w:rPr>
                <w:rStyle w:val="30"/>
                <w:rFonts w:hint="eastAsia" w:ascii="宋体" w:hAnsi="宋体" w:eastAsia="宋体" w:cs="宋体"/>
              </w:rPr>
              <w:t>47000</w:t>
            </w:r>
            <w:r>
              <w:rPr>
                <w:rStyle w:val="31"/>
                <w:rFonts w:hint="default"/>
              </w:rPr>
              <w:t>平方米，班级规模为</w:t>
            </w:r>
            <w:r>
              <w:rPr>
                <w:rStyle w:val="30"/>
                <w:rFonts w:hint="eastAsia" w:ascii="宋体" w:hAnsi="宋体" w:eastAsia="宋体" w:cs="宋体"/>
              </w:rPr>
              <w:t xml:space="preserve"> 36 </w:t>
            </w:r>
            <w:r>
              <w:rPr>
                <w:rStyle w:val="31"/>
                <w:rFonts w:hint="default"/>
              </w:rPr>
              <w:t>个。</w:t>
            </w:r>
          </w:p>
        </w:tc>
        <w:tc>
          <w:tcPr>
            <w:tcW w:w="13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rPr>
            </w:pPr>
            <w:r>
              <w:rPr>
                <w:rFonts w:hint="eastAsia" w:ascii="宋体" w:hAnsi="宋体" w:eastAsia="宋体" w:cs="宋体"/>
                <w:color w:val="000000"/>
              </w:rPr>
              <w:t>3</w:t>
            </w:r>
          </w:p>
        </w:tc>
        <w:tc>
          <w:tcPr>
            <w:tcW w:w="2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rPr>
            </w:pPr>
            <w:r>
              <w:rPr>
                <w:rFonts w:hint="eastAsia" w:ascii="宋体" w:hAnsi="宋体" w:eastAsia="宋体" w:cs="宋体"/>
                <w:color w:val="000000"/>
              </w:rPr>
              <w:t>3</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000000"/>
              </w:rPr>
            </w:pPr>
            <w:r>
              <w:rPr>
                <w:rFonts w:hint="eastAsia" w:ascii="宋体" w:hAnsi="宋体" w:eastAsia="宋体" w:cs="宋体"/>
                <w:color w:val="000000"/>
              </w:rPr>
              <w:t>1260</w:t>
            </w:r>
          </w:p>
        </w:tc>
        <w:tc>
          <w:tcPr>
            <w:tcW w:w="1484"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textAlignment w:val="center"/>
              <w:rPr>
                <w:rFonts w:ascii="宋体" w:hAnsi="宋体" w:eastAsia="宋体" w:cs="宋体"/>
                <w:color w:val="000000"/>
              </w:rPr>
            </w:pPr>
            <w:r>
              <w:rPr>
                <w:rFonts w:hint="eastAsia" w:ascii="宋体" w:hAnsi="宋体" w:eastAsia="宋体" w:cs="宋体"/>
                <w:color w:val="000000"/>
              </w:rPr>
              <w:t>420</w:t>
            </w:r>
          </w:p>
        </w:tc>
      </w:tr>
      <w:tr>
        <w:tblPrEx>
          <w:tblCellMar>
            <w:top w:w="0" w:type="dxa"/>
            <w:left w:w="108" w:type="dxa"/>
            <w:bottom w:w="0" w:type="dxa"/>
            <w:right w:w="108" w:type="dxa"/>
          </w:tblCellMar>
        </w:tblPrEx>
        <w:trPr>
          <w:trHeight w:val="740" w:hRule="atLeast"/>
        </w:trPr>
        <w:tc>
          <w:tcPr>
            <w:tcW w:w="581"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rPr>
            </w:pPr>
            <w:r>
              <w:rPr>
                <w:rFonts w:hint="eastAsia" w:ascii="宋体" w:hAnsi="宋体" w:eastAsia="宋体" w:cs="宋体"/>
                <w:color w:val="000000"/>
              </w:rPr>
              <w:t>27</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color w:val="000000"/>
              </w:rPr>
            </w:pPr>
            <w:r>
              <w:rPr>
                <w:rFonts w:hint="eastAsia" w:ascii="宋体" w:hAnsi="宋体" w:eastAsia="宋体" w:cs="宋体"/>
                <w:color w:val="000000"/>
              </w:rPr>
              <w:t>温州市牛山小学（</w:t>
            </w:r>
            <w:r>
              <w:rPr>
                <w:rStyle w:val="31"/>
                <w:rFonts w:hint="default"/>
              </w:rPr>
              <w:t>暂名）</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000000"/>
              </w:rPr>
            </w:pPr>
            <w:r>
              <w:rPr>
                <w:rFonts w:hint="eastAsia" w:ascii="宋体" w:hAnsi="宋体" w:eastAsia="宋体" w:cs="宋体"/>
                <w:color w:val="000000"/>
              </w:rPr>
              <w:t>新建</w:t>
            </w:r>
          </w:p>
        </w:tc>
        <w:tc>
          <w:tcPr>
            <w:tcW w:w="13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000000"/>
              </w:rPr>
            </w:pPr>
            <w:r>
              <w:rPr>
                <w:rFonts w:hint="eastAsia" w:ascii="宋体" w:hAnsi="宋体" w:eastAsia="宋体" w:cs="宋体"/>
                <w:color w:val="000000"/>
              </w:rPr>
              <w:t>2023</w:t>
            </w:r>
          </w:p>
          <w:p>
            <w:pPr>
              <w:jc w:val="center"/>
              <w:textAlignment w:val="center"/>
              <w:rPr>
                <w:rFonts w:ascii="宋体" w:hAnsi="宋体" w:eastAsia="宋体" w:cs="宋体"/>
                <w:color w:val="000000"/>
              </w:rPr>
            </w:pPr>
            <w:r>
              <w:rPr>
                <w:rFonts w:hint="eastAsia" w:ascii="宋体" w:hAnsi="宋体" w:eastAsia="宋体" w:cs="宋体"/>
                <w:color w:val="000000"/>
              </w:rPr>
              <w:t>-2026</w:t>
            </w:r>
          </w:p>
        </w:tc>
        <w:tc>
          <w:tcPr>
            <w:tcW w:w="3375"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color w:val="000000"/>
              </w:rPr>
            </w:pPr>
            <w:r>
              <w:rPr>
                <w:rFonts w:hint="eastAsia" w:ascii="宋体" w:hAnsi="宋体" w:eastAsia="宋体" w:cs="宋体"/>
                <w:color w:val="000000"/>
              </w:rPr>
              <w:t>项目用地面积</w:t>
            </w:r>
            <w:r>
              <w:rPr>
                <w:rStyle w:val="30"/>
                <w:rFonts w:hint="eastAsia" w:ascii="宋体" w:hAnsi="宋体" w:eastAsia="宋体" w:cs="宋体"/>
              </w:rPr>
              <w:t xml:space="preserve"> 20000 </w:t>
            </w:r>
            <w:r>
              <w:rPr>
                <w:rStyle w:val="31"/>
                <w:rFonts w:hint="default"/>
              </w:rPr>
              <w:t>平方米，总建筑面积</w:t>
            </w:r>
            <w:r>
              <w:rPr>
                <w:rStyle w:val="30"/>
                <w:rFonts w:hint="eastAsia" w:ascii="宋体" w:hAnsi="宋体" w:eastAsia="宋体" w:cs="宋体"/>
              </w:rPr>
              <w:t xml:space="preserve"> 18000</w:t>
            </w:r>
            <w:r>
              <w:rPr>
                <w:rStyle w:val="31"/>
                <w:rFonts w:hint="default"/>
              </w:rPr>
              <w:t>平方米，班级规模为</w:t>
            </w:r>
            <w:r>
              <w:rPr>
                <w:rStyle w:val="30"/>
                <w:rFonts w:hint="eastAsia" w:ascii="宋体" w:hAnsi="宋体" w:eastAsia="宋体" w:cs="宋体"/>
              </w:rPr>
              <w:t xml:space="preserve"> 24 </w:t>
            </w:r>
            <w:r>
              <w:rPr>
                <w:rStyle w:val="31"/>
                <w:rFonts w:hint="default"/>
              </w:rPr>
              <w:t>个。</w:t>
            </w:r>
          </w:p>
        </w:tc>
        <w:tc>
          <w:tcPr>
            <w:tcW w:w="13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rPr>
            </w:pPr>
            <w:r>
              <w:rPr>
                <w:rFonts w:hint="eastAsia" w:ascii="宋体" w:hAnsi="宋体" w:eastAsia="宋体" w:cs="宋体"/>
                <w:color w:val="000000"/>
              </w:rPr>
              <w:t>1.5</w:t>
            </w:r>
          </w:p>
        </w:tc>
        <w:tc>
          <w:tcPr>
            <w:tcW w:w="2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rPr>
            </w:pPr>
            <w:r>
              <w:rPr>
                <w:rFonts w:hint="eastAsia" w:ascii="宋体" w:hAnsi="宋体" w:eastAsia="宋体" w:cs="宋体"/>
                <w:color w:val="000000"/>
              </w:rPr>
              <w:t>1.2</w:t>
            </w:r>
          </w:p>
        </w:tc>
        <w:tc>
          <w:tcPr>
            <w:tcW w:w="14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rPr>
            </w:pPr>
            <w:r>
              <w:rPr>
                <w:rFonts w:hint="eastAsia" w:ascii="宋体" w:hAnsi="宋体" w:eastAsia="宋体" w:cs="宋体"/>
                <w:color w:val="000000"/>
              </w:rPr>
              <w:t>1260</w:t>
            </w:r>
          </w:p>
        </w:tc>
        <w:tc>
          <w:tcPr>
            <w:tcW w:w="1484"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jc w:val="center"/>
              <w:textAlignment w:val="center"/>
              <w:rPr>
                <w:rFonts w:ascii="宋体" w:hAnsi="宋体" w:eastAsia="宋体" w:cs="宋体"/>
                <w:color w:val="000000"/>
              </w:rPr>
            </w:pPr>
            <w:r>
              <w:rPr>
                <w:rFonts w:hint="eastAsia" w:ascii="宋体" w:hAnsi="宋体" w:eastAsia="宋体" w:cs="宋体"/>
                <w:color w:val="000000"/>
              </w:rPr>
              <w:t>420</w:t>
            </w:r>
          </w:p>
        </w:tc>
      </w:tr>
      <w:tr>
        <w:tblPrEx>
          <w:tblCellMar>
            <w:top w:w="0" w:type="dxa"/>
            <w:left w:w="108" w:type="dxa"/>
            <w:bottom w:w="0" w:type="dxa"/>
            <w:right w:w="108" w:type="dxa"/>
          </w:tblCellMar>
        </w:tblPrEx>
        <w:trPr>
          <w:trHeight w:val="740" w:hRule="atLeast"/>
        </w:trPr>
        <w:tc>
          <w:tcPr>
            <w:tcW w:w="581"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rPr>
            </w:pPr>
            <w:r>
              <w:rPr>
                <w:rFonts w:hint="eastAsia" w:ascii="宋体" w:hAnsi="宋体" w:eastAsia="宋体" w:cs="宋体"/>
                <w:color w:val="000000"/>
              </w:rPr>
              <w:t>28</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color w:val="000000"/>
              </w:rPr>
            </w:pPr>
            <w:r>
              <w:rPr>
                <w:rFonts w:hint="eastAsia" w:ascii="宋体" w:hAnsi="宋体" w:eastAsia="宋体" w:cs="宋体"/>
                <w:color w:val="000000"/>
              </w:rPr>
              <w:t>中央涂中学（暂名）</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000000"/>
              </w:rPr>
            </w:pPr>
            <w:r>
              <w:rPr>
                <w:rFonts w:hint="eastAsia" w:ascii="宋体" w:hAnsi="宋体" w:eastAsia="宋体" w:cs="宋体"/>
                <w:color w:val="000000"/>
              </w:rPr>
              <w:t>新建</w:t>
            </w:r>
          </w:p>
        </w:tc>
        <w:tc>
          <w:tcPr>
            <w:tcW w:w="13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000000"/>
              </w:rPr>
            </w:pPr>
            <w:r>
              <w:rPr>
                <w:rFonts w:hint="eastAsia" w:ascii="宋体" w:hAnsi="宋体" w:eastAsia="宋体" w:cs="宋体"/>
                <w:color w:val="000000"/>
              </w:rPr>
              <w:t>2023</w:t>
            </w:r>
          </w:p>
          <w:p>
            <w:pPr>
              <w:jc w:val="center"/>
              <w:textAlignment w:val="center"/>
              <w:rPr>
                <w:rFonts w:ascii="宋体" w:hAnsi="宋体" w:eastAsia="宋体" w:cs="宋体"/>
                <w:color w:val="000000"/>
              </w:rPr>
            </w:pPr>
            <w:r>
              <w:rPr>
                <w:rFonts w:hint="eastAsia" w:ascii="宋体" w:hAnsi="宋体" w:eastAsia="宋体" w:cs="宋体"/>
                <w:color w:val="000000"/>
              </w:rPr>
              <w:t>-2026</w:t>
            </w:r>
          </w:p>
        </w:tc>
        <w:tc>
          <w:tcPr>
            <w:tcW w:w="3375" w:type="dxa"/>
            <w:tcBorders>
              <w:top w:val="single" w:color="000000" w:sz="4" w:space="0"/>
              <w:left w:val="single" w:color="000000" w:sz="4" w:space="0"/>
              <w:bottom w:val="single" w:color="000000" w:sz="4" w:space="0"/>
              <w:right w:val="single" w:color="000000" w:sz="4" w:space="0"/>
            </w:tcBorders>
            <w:shd w:val="clear" w:color="auto" w:fill="auto"/>
          </w:tcPr>
          <w:p>
            <w:pPr>
              <w:textAlignment w:val="top"/>
              <w:rPr>
                <w:rFonts w:ascii="宋体" w:hAnsi="宋体" w:eastAsia="宋体" w:cs="宋体"/>
                <w:color w:val="000000"/>
              </w:rPr>
            </w:pPr>
            <w:r>
              <w:rPr>
                <w:rFonts w:hint="eastAsia" w:ascii="宋体" w:hAnsi="宋体" w:eastAsia="宋体" w:cs="宋体"/>
                <w:color w:val="000000"/>
              </w:rPr>
              <w:t>占地面积约</w:t>
            </w:r>
            <w:r>
              <w:rPr>
                <w:rStyle w:val="30"/>
                <w:rFonts w:hint="eastAsia" w:ascii="宋体" w:hAnsi="宋体" w:eastAsia="宋体" w:cs="宋体"/>
              </w:rPr>
              <w:t>60316平方米，其中建筑面积60200平方米，地下42000平方米，</w:t>
            </w:r>
            <w:r>
              <w:rPr>
                <w:rStyle w:val="31"/>
                <w:rFonts w:hint="default"/>
              </w:rPr>
              <w:t>班级规模为</w:t>
            </w:r>
            <w:r>
              <w:rPr>
                <w:rStyle w:val="30"/>
                <w:rFonts w:hint="eastAsia" w:ascii="宋体" w:hAnsi="宋体" w:eastAsia="宋体" w:cs="宋体"/>
              </w:rPr>
              <w:t xml:space="preserve">60 </w:t>
            </w:r>
            <w:r>
              <w:rPr>
                <w:rStyle w:val="31"/>
                <w:rFonts w:hint="default"/>
              </w:rPr>
              <w:t>个。</w:t>
            </w:r>
          </w:p>
        </w:tc>
        <w:tc>
          <w:tcPr>
            <w:tcW w:w="13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rPr>
            </w:pPr>
            <w:r>
              <w:rPr>
                <w:rFonts w:hint="eastAsia" w:ascii="宋体" w:hAnsi="宋体" w:eastAsia="宋体" w:cs="宋体"/>
                <w:color w:val="000000"/>
              </w:rPr>
              <w:t>6.5</w:t>
            </w:r>
          </w:p>
        </w:tc>
        <w:tc>
          <w:tcPr>
            <w:tcW w:w="2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rPr>
            </w:pPr>
            <w:r>
              <w:rPr>
                <w:rFonts w:hint="eastAsia" w:ascii="宋体" w:hAnsi="宋体" w:eastAsia="宋体" w:cs="宋体"/>
                <w:color w:val="000000"/>
              </w:rPr>
              <w:t>5.5</w:t>
            </w:r>
          </w:p>
        </w:tc>
        <w:tc>
          <w:tcPr>
            <w:tcW w:w="14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rPr>
            </w:pPr>
            <w:r>
              <w:rPr>
                <w:rFonts w:hint="eastAsia" w:ascii="宋体" w:hAnsi="宋体" w:eastAsia="宋体" w:cs="宋体"/>
                <w:color w:val="000000"/>
              </w:rPr>
              <w:t>2400</w:t>
            </w:r>
          </w:p>
        </w:tc>
        <w:tc>
          <w:tcPr>
            <w:tcW w:w="1484"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jc w:val="center"/>
              <w:textAlignment w:val="center"/>
              <w:rPr>
                <w:rFonts w:ascii="宋体" w:hAnsi="宋体" w:eastAsia="宋体" w:cs="宋体"/>
                <w:color w:val="000000"/>
              </w:rPr>
            </w:pPr>
            <w:r>
              <w:rPr>
                <w:rFonts w:hint="eastAsia" w:ascii="宋体" w:hAnsi="宋体" w:eastAsia="宋体" w:cs="宋体"/>
                <w:color w:val="000000"/>
              </w:rPr>
              <w:t>2400</w:t>
            </w:r>
          </w:p>
        </w:tc>
      </w:tr>
      <w:tr>
        <w:tblPrEx>
          <w:tblCellMar>
            <w:top w:w="0" w:type="dxa"/>
            <w:left w:w="108" w:type="dxa"/>
            <w:bottom w:w="0" w:type="dxa"/>
            <w:right w:w="108" w:type="dxa"/>
          </w:tblCellMar>
        </w:tblPrEx>
        <w:trPr>
          <w:trHeight w:val="680" w:hRule="atLeast"/>
        </w:trPr>
        <w:tc>
          <w:tcPr>
            <w:tcW w:w="581"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rPr>
            </w:pPr>
            <w:r>
              <w:rPr>
                <w:rFonts w:hint="eastAsia" w:ascii="宋体" w:hAnsi="宋体" w:eastAsia="宋体" w:cs="宋体"/>
                <w:color w:val="000000"/>
              </w:rPr>
              <w:t>29</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color w:val="000000"/>
              </w:rPr>
            </w:pPr>
            <w:r>
              <w:rPr>
                <w:rFonts w:hint="eastAsia" w:ascii="宋体" w:hAnsi="宋体" w:eastAsia="宋体" w:cs="宋体"/>
                <w:color w:val="000000"/>
              </w:rPr>
              <w:t>新村小学项目</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000000"/>
              </w:rPr>
            </w:pPr>
            <w:r>
              <w:rPr>
                <w:rFonts w:hint="eastAsia" w:ascii="宋体" w:hAnsi="宋体" w:eastAsia="宋体" w:cs="宋体"/>
                <w:color w:val="000000"/>
              </w:rPr>
              <w:t>新建</w:t>
            </w:r>
          </w:p>
        </w:tc>
        <w:tc>
          <w:tcPr>
            <w:tcW w:w="13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000000"/>
              </w:rPr>
            </w:pPr>
            <w:r>
              <w:rPr>
                <w:rFonts w:hint="eastAsia" w:ascii="宋体" w:hAnsi="宋体" w:eastAsia="宋体" w:cs="宋体"/>
                <w:color w:val="000000"/>
              </w:rPr>
              <w:t>2023</w:t>
            </w:r>
          </w:p>
          <w:p>
            <w:pPr>
              <w:jc w:val="center"/>
              <w:textAlignment w:val="center"/>
              <w:rPr>
                <w:rFonts w:ascii="宋体" w:hAnsi="宋体" w:eastAsia="宋体" w:cs="宋体"/>
                <w:color w:val="000000"/>
              </w:rPr>
            </w:pPr>
            <w:r>
              <w:rPr>
                <w:rFonts w:hint="eastAsia" w:ascii="宋体" w:hAnsi="宋体" w:eastAsia="宋体" w:cs="宋体"/>
                <w:color w:val="000000"/>
              </w:rPr>
              <w:t>-2026</w:t>
            </w:r>
          </w:p>
        </w:tc>
        <w:tc>
          <w:tcPr>
            <w:tcW w:w="3375" w:type="dxa"/>
            <w:tcBorders>
              <w:top w:val="single" w:color="000000" w:sz="4" w:space="0"/>
              <w:left w:val="single" w:color="000000" w:sz="4" w:space="0"/>
              <w:bottom w:val="single" w:color="000000" w:sz="4" w:space="0"/>
              <w:right w:val="single" w:color="000000" w:sz="4" w:space="0"/>
            </w:tcBorders>
            <w:shd w:val="clear" w:color="auto" w:fill="auto"/>
          </w:tcPr>
          <w:p>
            <w:pPr>
              <w:textAlignment w:val="top"/>
              <w:rPr>
                <w:rFonts w:ascii="宋体" w:hAnsi="宋体" w:eastAsia="宋体" w:cs="宋体"/>
                <w:color w:val="000000"/>
              </w:rPr>
            </w:pPr>
            <w:r>
              <w:rPr>
                <w:rFonts w:hint="eastAsia" w:ascii="宋体" w:hAnsi="宋体" w:eastAsia="宋体" w:cs="宋体"/>
                <w:color w:val="000000"/>
              </w:rPr>
              <w:t>位于松台街道茶花社区巷底地块，用地面积约</w:t>
            </w:r>
            <w:r>
              <w:rPr>
                <w:rStyle w:val="30"/>
                <w:rFonts w:hint="eastAsia" w:ascii="宋体" w:hAnsi="宋体" w:eastAsia="宋体" w:cs="宋体"/>
              </w:rPr>
              <w:t>26500</w:t>
            </w:r>
            <w:r>
              <w:rPr>
                <w:rStyle w:val="31"/>
                <w:rFonts w:hint="default"/>
              </w:rPr>
              <w:t>平方米，总建筑面积约</w:t>
            </w:r>
            <w:r>
              <w:rPr>
                <w:rStyle w:val="30"/>
                <w:rFonts w:hint="eastAsia" w:ascii="宋体" w:hAnsi="宋体" w:eastAsia="宋体" w:cs="宋体"/>
              </w:rPr>
              <w:t>31500</w:t>
            </w:r>
            <w:r>
              <w:rPr>
                <w:rStyle w:val="31"/>
                <w:rFonts w:hint="default"/>
              </w:rPr>
              <w:t>平方米，班级规模为</w:t>
            </w:r>
            <w:r>
              <w:rPr>
                <w:rStyle w:val="30"/>
                <w:rFonts w:hint="eastAsia" w:ascii="宋体" w:hAnsi="宋体" w:eastAsia="宋体" w:cs="宋体"/>
              </w:rPr>
              <w:t xml:space="preserve"> 24 </w:t>
            </w:r>
            <w:r>
              <w:rPr>
                <w:rStyle w:val="31"/>
                <w:rFonts w:hint="default"/>
              </w:rPr>
              <w:t>个。</w:t>
            </w:r>
          </w:p>
        </w:tc>
        <w:tc>
          <w:tcPr>
            <w:tcW w:w="13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rPr>
            </w:pPr>
            <w:r>
              <w:rPr>
                <w:rFonts w:hint="eastAsia" w:ascii="宋体" w:hAnsi="宋体" w:eastAsia="宋体" w:cs="宋体"/>
                <w:color w:val="000000"/>
              </w:rPr>
              <w:t>1.72</w:t>
            </w:r>
          </w:p>
        </w:tc>
        <w:tc>
          <w:tcPr>
            <w:tcW w:w="2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rPr>
            </w:pPr>
            <w:r>
              <w:rPr>
                <w:rFonts w:hint="eastAsia" w:ascii="宋体" w:hAnsi="宋体" w:eastAsia="宋体" w:cs="宋体"/>
                <w:color w:val="000000"/>
              </w:rPr>
              <w:t>0.5</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000000"/>
              </w:rPr>
            </w:pPr>
            <w:r>
              <w:rPr>
                <w:rFonts w:hint="eastAsia" w:ascii="宋体" w:hAnsi="宋体" w:eastAsia="宋体" w:cs="宋体"/>
                <w:color w:val="000000"/>
              </w:rPr>
              <w:t>1080</w:t>
            </w:r>
          </w:p>
        </w:tc>
        <w:tc>
          <w:tcPr>
            <w:tcW w:w="1484"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textAlignment w:val="center"/>
              <w:rPr>
                <w:rFonts w:ascii="宋体" w:hAnsi="宋体" w:eastAsia="宋体" w:cs="宋体"/>
                <w:color w:val="000000"/>
              </w:rPr>
            </w:pPr>
            <w:r>
              <w:rPr>
                <w:rFonts w:hint="eastAsia" w:ascii="宋体" w:hAnsi="宋体" w:eastAsia="宋体" w:cs="宋体"/>
                <w:color w:val="000000"/>
              </w:rPr>
              <w:t>0</w:t>
            </w:r>
          </w:p>
        </w:tc>
      </w:tr>
      <w:tr>
        <w:tblPrEx>
          <w:tblCellMar>
            <w:top w:w="0" w:type="dxa"/>
            <w:left w:w="108" w:type="dxa"/>
            <w:bottom w:w="0" w:type="dxa"/>
            <w:right w:w="108" w:type="dxa"/>
          </w:tblCellMar>
        </w:tblPrEx>
        <w:trPr>
          <w:trHeight w:val="660" w:hRule="atLeast"/>
        </w:trPr>
        <w:tc>
          <w:tcPr>
            <w:tcW w:w="581"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rPr>
            </w:pPr>
            <w:r>
              <w:rPr>
                <w:rFonts w:hint="eastAsia" w:ascii="宋体" w:hAnsi="宋体" w:eastAsia="宋体" w:cs="宋体"/>
                <w:color w:val="000000"/>
              </w:rPr>
              <w:t>30</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color w:val="000000"/>
              </w:rPr>
            </w:pPr>
            <w:r>
              <w:rPr>
                <w:rFonts w:hint="eastAsia" w:ascii="宋体" w:hAnsi="宋体" w:eastAsia="宋体" w:cs="宋体"/>
                <w:color w:val="000000"/>
              </w:rPr>
              <w:t>少艺校建设剧院（金丝</w:t>
            </w:r>
            <w:r>
              <w:rPr>
                <w:rStyle w:val="31"/>
                <w:rFonts w:hint="default"/>
              </w:rPr>
              <w:t>桥社区</w:t>
            </w:r>
            <w:r>
              <w:rPr>
                <w:rStyle w:val="30"/>
                <w:rFonts w:hint="eastAsia" w:ascii="宋体" w:hAnsi="宋体" w:eastAsia="宋体" w:cs="宋体"/>
              </w:rPr>
              <w:t xml:space="preserve"> C </w:t>
            </w:r>
            <w:r>
              <w:rPr>
                <w:rStyle w:val="31"/>
                <w:rFonts w:hint="default"/>
              </w:rPr>
              <w:t>地块）建设工程</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000000"/>
              </w:rPr>
            </w:pPr>
            <w:r>
              <w:rPr>
                <w:rFonts w:hint="eastAsia" w:ascii="宋体" w:hAnsi="宋体" w:eastAsia="宋体" w:cs="宋体"/>
                <w:color w:val="000000"/>
              </w:rPr>
              <w:t>新建</w:t>
            </w:r>
          </w:p>
        </w:tc>
        <w:tc>
          <w:tcPr>
            <w:tcW w:w="13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000000"/>
              </w:rPr>
            </w:pPr>
            <w:r>
              <w:rPr>
                <w:rFonts w:hint="eastAsia" w:ascii="宋体" w:hAnsi="宋体" w:eastAsia="宋体" w:cs="宋体"/>
                <w:color w:val="000000"/>
              </w:rPr>
              <w:t>2024</w:t>
            </w:r>
          </w:p>
          <w:p>
            <w:pPr>
              <w:jc w:val="center"/>
              <w:textAlignment w:val="center"/>
              <w:rPr>
                <w:rFonts w:ascii="宋体" w:hAnsi="宋体" w:eastAsia="宋体" w:cs="宋体"/>
                <w:color w:val="000000"/>
              </w:rPr>
            </w:pPr>
            <w:r>
              <w:rPr>
                <w:rFonts w:hint="eastAsia" w:ascii="宋体" w:hAnsi="宋体" w:eastAsia="宋体" w:cs="宋体"/>
                <w:color w:val="000000"/>
              </w:rPr>
              <w:t>-2027</w:t>
            </w:r>
          </w:p>
        </w:tc>
        <w:tc>
          <w:tcPr>
            <w:tcW w:w="3375"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color w:val="000000"/>
              </w:rPr>
            </w:pPr>
            <w:r>
              <w:rPr>
                <w:rFonts w:hint="eastAsia" w:ascii="宋体" w:hAnsi="宋体" w:eastAsia="宋体" w:cs="宋体"/>
                <w:color w:val="000000"/>
              </w:rPr>
              <w:t>项目用地面积</w:t>
            </w:r>
            <w:r>
              <w:rPr>
                <w:rStyle w:val="30"/>
                <w:rFonts w:hint="eastAsia" w:ascii="宋体" w:hAnsi="宋体" w:eastAsia="宋体" w:cs="宋体"/>
              </w:rPr>
              <w:t>4000</w:t>
            </w:r>
            <w:r>
              <w:rPr>
                <w:rStyle w:val="31"/>
                <w:rFonts w:hint="default"/>
              </w:rPr>
              <w:t>平方米，总建筑面积</w:t>
            </w:r>
            <w:r>
              <w:rPr>
                <w:rStyle w:val="30"/>
                <w:rFonts w:hint="eastAsia" w:ascii="宋体" w:hAnsi="宋体" w:eastAsia="宋体" w:cs="宋体"/>
              </w:rPr>
              <w:t>4800</w:t>
            </w:r>
            <w:r>
              <w:rPr>
                <w:rStyle w:val="31"/>
                <w:rFonts w:hint="default"/>
              </w:rPr>
              <w:t>平方米。</w:t>
            </w:r>
          </w:p>
        </w:tc>
        <w:tc>
          <w:tcPr>
            <w:tcW w:w="13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rPr>
            </w:pPr>
            <w:r>
              <w:rPr>
                <w:rFonts w:hint="eastAsia" w:ascii="宋体" w:hAnsi="宋体" w:eastAsia="宋体" w:cs="宋体"/>
                <w:color w:val="000000"/>
              </w:rPr>
              <w:t>0.8</w:t>
            </w:r>
          </w:p>
        </w:tc>
        <w:tc>
          <w:tcPr>
            <w:tcW w:w="2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rPr>
            </w:pPr>
            <w:r>
              <w:rPr>
                <w:rFonts w:hint="eastAsia" w:ascii="宋体" w:hAnsi="宋体" w:eastAsia="宋体" w:cs="宋体"/>
                <w:color w:val="000000"/>
              </w:rPr>
              <w:t>0.3</w:t>
            </w:r>
          </w:p>
        </w:tc>
        <w:tc>
          <w:tcPr>
            <w:tcW w:w="14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rPr>
            </w:pPr>
            <w:r>
              <w:rPr>
                <w:rFonts w:hint="eastAsia" w:ascii="宋体" w:hAnsi="宋体" w:eastAsia="宋体" w:cs="宋体"/>
                <w:color w:val="000000"/>
              </w:rPr>
              <w:t>0</w:t>
            </w:r>
          </w:p>
        </w:tc>
        <w:tc>
          <w:tcPr>
            <w:tcW w:w="1484"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jc w:val="center"/>
              <w:textAlignment w:val="center"/>
              <w:rPr>
                <w:rFonts w:ascii="宋体" w:hAnsi="宋体" w:eastAsia="宋体" w:cs="宋体"/>
                <w:color w:val="000000"/>
              </w:rPr>
            </w:pPr>
            <w:r>
              <w:rPr>
                <w:rFonts w:hint="eastAsia" w:ascii="宋体" w:hAnsi="宋体" w:eastAsia="宋体" w:cs="宋体"/>
                <w:color w:val="000000"/>
              </w:rPr>
              <w:t>0</w:t>
            </w:r>
          </w:p>
        </w:tc>
      </w:tr>
      <w:tr>
        <w:tblPrEx>
          <w:tblCellMar>
            <w:top w:w="0" w:type="dxa"/>
            <w:left w:w="108" w:type="dxa"/>
            <w:bottom w:w="0" w:type="dxa"/>
            <w:right w:w="108" w:type="dxa"/>
          </w:tblCellMar>
        </w:tblPrEx>
        <w:trPr>
          <w:trHeight w:val="620" w:hRule="atLeast"/>
        </w:trPr>
        <w:tc>
          <w:tcPr>
            <w:tcW w:w="581"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rPr>
            </w:pPr>
            <w:r>
              <w:rPr>
                <w:rFonts w:hint="eastAsia" w:ascii="宋体" w:hAnsi="宋体" w:eastAsia="宋体" w:cs="宋体"/>
                <w:color w:val="000000"/>
              </w:rPr>
              <w:t>31</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color w:val="000000"/>
              </w:rPr>
            </w:pPr>
            <w:r>
              <w:rPr>
                <w:rFonts w:hint="eastAsia" w:ascii="宋体" w:hAnsi="宋体" w:eastAsia="宋体" w:cs="宋体"/>
                <w:color w:val="000000"/>
              </w:rPr>
              <w:t>温州第十六中学改造工程</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000000"/>
              </w:rPr>
            </w:pPr>
            <w:r>
              <w:rPr>
                <w:rFonts w:hint="eastAsia" w:ascii="宋体" w:hAnsi="宋体" w:eastAsia="宋体" w:cs="宋体"/>
                <w:color w:val="000000"/>
              </w:rPr>
              <w:t>新建</w:t>
            </w:r>
          </w:p>
        </w:tc>
        <w:tc>
          <w:tcPr>
            <w:tcW w:w="13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000000"/>
              </w:rPr>
            </w:pPr>
            <w:r>
              <w:rPr>
                <w:rFonts w:hint="eastAsia" w:ascii="宋体" w:hAnsi="宋体" w:eastAsia="宋体" w:cs="宋体"/>
                <w:color w:val="000000"/>
              </w:rPr>
              <w:t>2021</w:t>
            </w:r>
          </w:p>
          <w:p>
            <w:pPr>
              <w:jc w:val="center"/>
              <w:textAlignment w:val="center"/>
              <w:rPr>
                <w:rFonts w:ascii="宋体" w:hAnsi="宋体" w:eastAsia="宋体" w:cs="宋体"/>
                <w:color w:val="000000"/>
              </w:rPr>
            </w:pPr>
            <w:r>
              <w:rPr>
                <w:rFonts w:hint="eastAsia" w:ascii="宋体" w:hAnsi="宋体" w:eastAsia="宋体" w:cs="宋体"/>
                <w:color w:val="000000"/>
              </w:rPr>
              <w:t>-2022</w:t>
            </w:r>
          </w:p>
        </w:tc>
        <w:tc>
          <w:tcPr>
            <w:tcW w:w="3375"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color w:val="000000"/>
              </w:rPr>
            </w:pPr>
            <w:r>
              <w:rPr>
                <w:rFonts w:hint="eastAsia" w:ascii="宋体" w:hAnsi="宋体" w:eastAsia="宋体" w:cs="宋体"/>
                <w:color w:val="000000"/>
              </w:rPr>
              <w:t>项目用地面积</w:t>
            </w:r>
            <w:r>
              <w:rPr>
                <w:rStyle w:val="30"/>
                <w:rFonts w:hint="eastAsia" w:ascii="宋体" w:hAnsi="宋体" w:eastAsia="宋体" w:cs="宋体"/>
              </w:rPr>
              <w:t xml:space="preserve"> 16675 </w:t>
            </w:r>
            <w:r>
              <w:rPr>
                <w:rStyle w:val="31"/>
                <w:rFonts w:hint="default"/>
              </w:rPr>
              <w:t>平方米，总建筑面积</w:t>
            </w:r>
            <w:r>
              <w:rPr>
                <w:rStyle w:val="30"/>
                <w:rFonts w:hint="eastAsia" w:ascii="宋体" w:hAnsi="宋体" w:eastAsia="宋体" w:cs="宋体"/>
              </w:rPr>
              <w:t>16500</w:t>
            </w:r>
            <w:r>
              <w:rPr>
                <w:rStyle w:val="31"/>
                <w:rFonts w:hint="default"/>
              </w:rPr>
              <w:t>平方米，班级规模为</w:t>
            </w:r>
            <w:r>
              <w:rPr>
                <w:rStyle w:val="30"/>
                <w:rFonts w:hint="eastAsia" w:ascii="宋体" w:hAnsi="宋体" w:eastAsia="宋体" w:cs="宋体"/>
              </w:rPr>
              <w:t>18</w:t>
            </w:r>
            <w:r>
              <w:rPr>
                <w:rStyle w:val="31"/>
                <w:rFonts w:hint="default"/>
              </w:rPr>
              <w:t>个。</w:t>
            </w:r>
          </w:p>
        </w:tc>
        <w:tc>
          <w:tcPr>
            <w:tcW w:w="13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rPr>
            </w:pPr>
            <w:r>
              <w:rPr>
                <w:rFonts w:hint="eastAsia" w:ascii="宋体" w:hAnsi="宋体" w:eastAsia="宋体" w:cs="宋体"/>
                <w:color w:val="000000"/>
              </w:rPr>
              <w:t>0.25</w:t>
            </w:r>
          </w:p>
        </w:tc>
        <w:tc>
          <w:tcPr>
            <w:tcW w:w="2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rPr>
            </w:pPr>
            <w:r>
              <w:rPr>
                <w:rFonts w:hint="eastAsia" w:ascii="宋体" w:hAnsi="宋体" w:eastAsia="宋体" w:cs="宋体"/>
                <w:color w:val="000000"/>
              </w:rPr>
              <w:t>0.25</w:t>
            </w:r>
          </w:p>
        </w:tc>
        <w:tc>
          <w:tcPr>
            <w:tcW w:w="14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rPr>
            </w:pPr>
            <w:r>
              <w:rPr>
                <w:rFonts w:hint="eastAsia" w:ascii="宋体" w:hAnsi="宋体" w:eastAsia="宋体" w:cs="宋体"/>
                <w:color w:val="000000"/>
              </w:rPr>
              <w:t>630</w:t>
            </w:r>
          </w:p>
        </w:tc>
        <w:tc>
          <w:tcPr>
            <w:tcW w:w="1484"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jc w:val="center"/>
              <w:textAlignment w:val="center"/>
              <w:rPr>
                <w:rFonts w:ascii="宋体" w:hAnsi="宋体" w:eastAsia="宋体" w:cs="宋体"/>
                <w:color w:val="000000"/>
              </w:rPr>
            </w:pPr>
            <w:r>
              <w:rPr>
                <w:rFonts w:hint="eastAsia" w:ascii="宋体" w:hAnsi="宋体" w:eastAsia="宋体" w:cs="宋体"/>
                <w:color w:val="000000"/>
              </w:rPr>
              <w:t>630</w:t>
            </w:r>
          </w:p>
        </w:tc>
      </w:tr>
      <w:tr>
        <w:tblPrEx>
          <w:tblCellMar>
            <w:top w:w="0" w:type="dxa"/>
            <w:left w:w="108" w:type="dxa"/>
            <w:bottom w:w="0" w:type="dxa"/>
            <w:right w:w="108" w:type="dxa"/>
          </w:tblCellMar>
        </w:tblPrEx>
        <w:trPr>
          <w:trHeight w:val="679" w:hRule="atLeast"/>
        </w:trPr>
        <w:tc>
          <w:tcPr>
            <w:tcW w:w="581"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rPr>
            </w:pPr>
            <w:r>
              <w:rPr>
                <w:rFonts w:hint="eastAsia" w:ascii="宋体" w:hAnsi="宋体" w:eastAsia="宋体" w:cs="宋体"/>
                <w:color w:val="000000"/>
              </w:rPr>
              <w:t>32</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color w:val="000000"/>
              </w:rPr>
            </w:pPr>
            <w:r>
              <w:rPr>
                <w:rFonts w:hint="eastAsia" w:ascii="宋体" w:hAnsi="宋体" w:eastAsia="宋体" w:cs="宋体"/>
                <w:color w:val="000000"/>
              </w:rPr>
              <w:t>绣山中学拆扩建工程</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000000"/>
              </w:rPr>
            </w:pPr>
            <w:r>
              <w:rPr>
                <w:rFonts w:hint="eastAsia" w:ascii="宋体" w:hAnsi="宋体" w:eastAsia="宋体" w:cs="宋体"/>
                <w:color w:val="000000"/>
              </w:rPr>
              <w:t>新建</w:t>
            </w:r>
          </w:p>
        </w:tc>
        <w:tc>
          <w:tcPr>
            <w:tcW w:w="13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000000"/>
              </w:rPr>
            </w:pPr>
            <w:r>
              <w:rPr>
                <w:rFonts w:hint="eastAsia" w:ascii="宋体" w:hAnsi="宋体" w:eastAsia="宋体" w:cs="宋体"/>
                <w:color w:val="000000"/>
              </w:rPr>
              <w:t>2022</w:t>
            </w:r>
          </w:p>
          <w:p>
            <w:pPr>
              <w:jc w:val="center"/>
              <w:textAlignment w:val="center"/>
              <w:rPr>
                <w:rFonts w:ascii="宋体" w:hAnsi="宋体" w:eastAsia="宋体" w:cs="宋体"/>
                <w:color w:val="000000"/>
              </w:rPr>
            </w:pPr>
            <w:r>
              <w:rPr>
                <w:rFonts w:hint="eastAsia" w:ascii="宋体" w:hAnsi="宋体" w:eastAsia="宋体" w:cs="宋体"/>
                <w:color w:val="000000"/>
              </w:rPr>
              <w:t>-2024</w:t>
            </w:r>
          </w:p>
        </w:tc>
        <w:tc>
          <w:tcPr>
            <w:tcW w:w="3375" w:type="dxa"/>
            <w:tcBorders>
              <w:top w:val="single" w:color="000000" w:sz="4" w:space="0"/>
              <w:left w:val="single" w:color="000000" w:sz="4" w:space="0"/>
              <w:bottom w:val="single" w:color="000000" w:sz="4" w:space="0"/>
              <w:right w:val="single" w:color="000000" w:sz="4" w:space="0"/>
            </w:tcBorders>
            <w:shd w:val="clear" w:color="auto" w:fill="auto"/>
          </w:tcPr>
          <w:p>
            <w:pPr>
              <w:textAlignment w:val="top"/>
              <w:rPr>
                <w:rFonts w:ascii="宋体" w:hAnsi="宋体" w:eastAsia="宋体" w:cs="宋体"/>
                <w:color w:val="000000"/>
              </w:rPr>
            </w:pPr>
            <w:r>
              <w:rPr>
                <w:rFonts w:hint="eastAsia" w:ascii="宋体" w:hAnsi="宋体" w:eastAsia="宋体" w:cs="宋体"/>
                <w:color w:val="000000"/>
              </w:rPr>
              <w:t>项目用地面积</w:t>
            </w:r>
            <w:r>
              <w:rPr>
                <w:rStyle w:val="30"/>
                <w:rFonts w:hint="eastAsia" w:ascii="宋体" w:hAnsi="宋体" w:eastAsia="宋体" w:cs="宋体"/>
              </w:rPr>
              <w:t>45075</w:t>
            </w:r>
            <w:r>
              <w:rPr>
                <w:rStyle w:val="31"/>
                <w:rFonts w:hint="default"/>
              </w:rPr>
              <w:t>平方米，总建筑面积</w:t>
            </w:r>
            <w:r>
              <w:rPr>
                <w:rStyle w:val="30"/>
                <w:rFonts w:hint="eastAsia" w:ascii="宋体" w:hAnsi="宋体" w:eastAsia="宋体" w:cs="宋体"/>
              </w:rPr>
              <w:t>67600</w:t>
            </w:r>
            <w:r>
              <w:rPr>
                <w:rStyle w:val="31"/>
                <w:rFonts w:hint="default"/>
              </w:rPr>
              <w:t>平方米，班级规模为</w:t>
            </w:r>
            <w:r>
              <w:rPr>
                <w:rStyle w:val="30"/>
                <w:rFonts w:hint="eastAsia" w:ascii="宋体" w:hAnsi="宋体" w:eastAsia="宋体" w:cs="宋体"/>
              </w:rPr>
              <w:t>42</w:t>
            </w:r>
            <w:r>
              <w:rPr>
                <w:rStyle w:val="31"/>
                <w:rFonts w:hint="default"/>
              </w:rPr>
              <w:t>个。</w:t>
            </w:r>
          </w:p>
        </w:tc>
        <w:tc>
          <w:tcPr>
            <w:tcW w:w="13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rPr>
            </w:pPr>
            <w:r>
              <w:rPr>
                <w:rFonts w:hint="eastAsia" w:ascii="宋体" w:hAnsi="宋体" w:eastAsia="宋体" w:cs="宋体"/>
                <w:color w:val="000000"/>
              </w:rPr>
              <w:t>5.4</w:t>
            </w:r>
          </w:p>
        </w:tc>
        <w:tc>
          <w:tcPr>
            <w:tcW w:w="2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rPr>
            </w:pPr>
            <w:r>
              <w:rPr>
                <w:rFonts w:hint="eastAsia" w:ascii="宋体" w:hAnsi="宋体" w:eastAsia="宋体" w:cs="宋体"/>
                <w:color w:val="000000"/>
              </w:rPr>
              <w:t>5.4</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000000"/>
              </w:rPr>
            </w:pPr>
            <w:r>
              <w:rPr>
                <w:rFonts w:hint="eastAsia" w:ascii="宋体" w:hAnsi="宋体" w:eastAsia="宋体" w:cs="宋体"/>
                <w:color w:val="000000"/>
              </w:rPr>
              <w:t>2100</w:t>
            </w:r>
          </w:p>
        </w:tc>
        <w:tc>
          <w:tcPr>
            <w:tcW w:w="1484"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textAlignment w:val="center"/>
              <w:rPr>
                <w:rFonts w:ascii="宋体" w:hAnsi="宋体" w:eastAsia="宋体" w:cs="宋体"/>
                <w:color w:val="000000"/>
              </w:rPr>
            </w:pPr>
            <w:r>
              <w:rPr>
                <w:rFonts w:hint="eastAsia" w:ascii="宋体" w:hAnsi="宋体" w:eastAsia="宋体" w:cs="宋体"/>
                <w:color w:val="000000"/>
              </w:rPr>
              <w:t>1300</w:t>
            </w:r>
          </w:p>
        </w:tc>
      </w:tr>
      <w:tr>
        <w:tblPrEx>
          <w:tblCellMar>
            <w:top w:w="0" w:type="dxa"/>
            <w:left w:w="108" w:type="dxa"/>
            <w:bottom w:w="0" w:type="dxa"/>
            <w:right w:w="108" w:type="dxa"/>
          </w:tblCellMar>
        </w:tblPrEx>
        <w:trPr>
          <w:trHeight w:val="560" w:hRule="atLeast"/>
        </w:trPr>
        <w:tc>
          <w:tcPr>
            <w:tcW w:w="581"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rPr>
            </w:pPr>
            <w:r>
              <w:rPr>
                <w:rFonts w:hint="eastAsia" w:ascii="宋体" w:hAnsi="宋体" w:eastAsia="宋体" w:cs="宋体"/>
                <w:color w:val="000000"/>
              </w:rPr>
              <w:t>33</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color w:val="000000"/>
              </w:rPr>
            </w:pPr>
            <w:r>
              <w:rPr>
                <w:rFonts w:hint="eastAsia" w:ascii="宋体" w:hAnsi="宋体" w:eastAsia="宋体" w:cs="宋体"/>
                <w:color w:val="000000"/>
              </w:rPr>
              <w:t>双屿中学新校工程</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000000"/>
              </w:rPr>
            </w:pPr>
            <w:r>
              <w:rPr>
                <w:rFonts w:hint="eastAsia" w:ascii="宋体" w:hAnsi="宋体" w:eastAsia="宋体" w:cs="宋体"/>
                <w:color w:val="000000"/>
              </w:rPr>
              <w:t>新建</w:t>
            </w:r>
          </w:p>
        </w:tc>
        <w:tc>
          <w:tcPr>
            <w:tcW w:w="13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000000"/>
              </w:rPr>
            </w:pPr>
            <w:r>
              <w:rPr>
                <w:rFonts w:hint="eastAsia" w:ascii="宋体" w:hAnsi="宋体" w:eastAsia="宋体" w:cs="宋体"/>
                <w:color w:val="000000"/>
              </w:rPr>
              <w:t>2022</w:t>
            </w:r>
          </w:p>
          <w:p>
            <w:pPr>
              <w:jc w:val="center"/>
              <w:textAlignment w:val="center"/>
              <w:rPr>
                <w:rFonts w:ascii="宋体" w:hAnsi="宋体" w:eastAsia="宋体" w:cs="宋体"/>
                <w:color w:val="000000"/>
              </w:rPr>
            </w:pPr>
            <w:r>
              <w:rPr>
                <w:rFonts w:hint="eastAsia" w:ascii="宋体" w:hAnsi="宋体" w:eastAsia="宋体" w:cs="宋体"/>
                <w:color w:val="000000"/>
              </w:rPr>
              <w:t>-2025</w:t>
            </w:r>
          </w:p>
        </w:tc>
        <w:tc>
          <w:tcPr>
            <w:tcW w:w="3375" w:type="dxa"/>
            <w:tcBorders>
              <w:top w:val="single" w:color="000000" w:sz="4" w:space="0"/>
              <w:left w:val="single" w:color="000000" w:sz="4" w:space="0"/>
              <w:bottom w:val="single" w:color="000000" w:sz="4" w:space="0"/>
              <w:right w:val="single" w:color="000000" w:sz="4" w:space="0"/>
            </w:tcBorders>
            <w:shd w:val="clear" w:color="auto" w:fill="auto"/>
          </w:tcPr>
          <w:p>
            <w:pPr>
              <w:textAlignment w:val="top"/>
              <w:rPr>
                <w:rFonts w:ascii="宋体" w:hAnsi="宋体" w:eastAsia="宋体" w:cs="宋体"/>
                <w:color w:val="000000"/>
              </w:rPr>
            </w:pPr>
            <w:r>
              <w:rPr>
                <w:rFonts w:hint="eastAsia" w:ascii="宋体" w:hAnsi="宋体" w:eastAsia="宋体" w:cs="宋体"/>
                <w:color w:val="000000"/>
              </w:rPr>
              <w:t>项目用地面积</w:t>
            </w:r>
            <w:r>
              <w:rPr>
                <w:rStyle w:val="30"/>
                <w:rFonts w:hint="eastAsia" w:ascii="宋体" w:hAnsi="宋体" w:eastAsia="宋体" w:cs="宋体"/>
              </w:rPr>
              <w:t>29300</w:t>
            </w:r>
            <w:r>
              <w:rPr>
                <w:rStyle w:val="31"/>
                <w:rFonts w:hint="default"/>
              </w:rPr>
              <w:t>平方米，总建筑面积</w:t>
            </w:r>
            <w:r>
              <w:rPr>
                <w:rStyle w:val="30"/>
                <w:rFonts w:hint="eastAsia" w:ascii="宋体" w:hAnsi="宋体" w:eastAsia="宋体" w:cs="宋体"/>
              </w:rPr>
              <w:t>35000</w:t>
            </w:r>
            <w:r>
              <w:rPr>
                <w:rStyle w:val="31"/>
                <w:rFonts w:hint="default"/>
              </w:rPr>
              <w:t>平方米，班级规模为</w:t>
            </w:r>
            <w:r>
              <w:rPr>
                <w:rStyle w:val="30"/>
                <w:rFonts w:hint="eastAsia" w:ascii="宋体" w:hAnsi="宋体" w:eastAsia="宋体" w:cs="宋体"/>
              </w:rPr>
              <w:t>30</w:t>
            </w:r>
            <w:r>
              <w:rPr>
                <w:rStyle w:val="31"/>
                <w:rFonts w:hint="default"/>
              </w:rPr>
              <w:t>个。</w:t>
            </w:r>
          </w:p>
        </w:tc>
        <w:tc>
          <w:tcPr>
            <w:tcW w:w="13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rPr>
            </w:pPr>
            <w:r>
              <w:rPr>
                <w:rFonts w:hint="eastAsia" w:ascii="宋体" w:hAnsi="宋体" w:eastAsia="宋体" w:cs="宋体"/>
                <w:color w:val="000000"/>
              </w:rPr>
              <w:t>3.4</w:t>
            </w:r>
          </w:p>
        </w:tc>
        <w:tc>
          <w:tcPr>
            <w:tcW w:w="2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rPr>
            </w:pPr>
            <w:r>
              <w:rPr>
                <w:rFonts w:hint="eastAsia" w:ascii="宋体" w:hAnsi="宋体" w:eastAsia="宋体" w:cs="宋体"/>
                <w:color w:val="000000"/>
              </w:rPr>
              <w:t>3.4</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000000"/>
              </w:rPr>
            </w:pPr>
            <w:r>
              <w:rPr>
                <w:rFonts w:hint="eastAsia" w:ascii="宋体" w:hAnsi="宋体" w:eastAsia="宋体" w:cs="宋体"/>
                <w:color w:val="000000"/>
              </w:rPr>
              <w:t>1500</w:t>
            </w:r>
          </w:p>
        </w:tc>
        <w:tc>
          <w:tcPr>
            <w:tcW w:w="1484"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textAlignment w:val="center"/>
              <w:rPr>
                <w:rFonts w:ascii="宋体" w:hAnsi="宋体" w:eastAsia="宋体" w:cs="宋体"/>
                <w:color w:val="000000"/>
              </w:rPr>
            </w:pPr>
            <w:r>
              <w:rPr>
                <w:rFonts w:hint="eastAsia" w:ascii="宋体" w:hAnsi="宋体" w:eastAsia="宋体" w:cs="宋体"/>
                <w:color w:val="000000"/>
              </w:rPr>
              <w:t>300</w:t>
            </w:r>
          </w:p>
        </w:tc>
      </w:tr>
      <w:tr>
        <w:tblPrEx>
          <w:tblCellMar>
            <w:top w:w="0" w:type="dxa"/>
            <w:left w:w="108" w:type="dxa"/>
            <w:bottom w:w="0" w:type="dxa"/>
            <w:right w:w="108" w:type="dxa"/>
          </w:tblCellMar>
        </w:tblPrEx>
        <w:trPr>
          <w:trHeight w:val="700" w:hRule="atLeast"/>
        </w:trPr>
        <w:tc>
          <w:tcPr>
            <w:tcW w:w="581"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rPr>
            </w:pPr>
            <w:r>
              <w:rPr>
                <w:rFonts w:hint="eastAsia" w:ascii="宋体" w:hAnsi="宋体" w:eastAsia="宋体" w:cs="宋体"/>
                <w:color w:val="000000"/>
              </w:rPr>
              <w:t>34</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color w:val="000000"/>
              </w:rPr>
            </w:pPr>
            <w:r>
              <w:rPr>
                <w:rFonts w:hint="eastAsia" w:ascii="宋体" w:hAnsi="宋体" w:eastAsia="宋体" w:cs="宋体"/>
                <w:color w:val="000000"/>
              </w:rPr>
              <w:t>仰义中学迁建工程</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000000"/>
              </w:rPr>
            </w:pPr>
            <w:r>
              <w:rPr>
                <w:rFonts w:hint="eastAsia" w:ascii="宋体" w:hAnsi="宋体" w:eastAsia="宋体" w:cs="宋体"/>
                <w:color w:val="000000"/>
              </w:rPr>
              <w:t>新建</w:t>
            </w:r>
          </w:p>
        </w:tc>
        <w:tc>
          <w:tcPr>
            <w:tcW w:w="13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000000"/>
              </w:rPr>
            </w:pPr>
            <w:r>
              <w:rPr>
                <w:rFonts w:hint="eastAsia" w:ascii="宋体" w:hAnsi="宋体" w:eastAsia="宋体" w:cs="宋体"/>
                <w:color w:val="000000"/>
              </w:rPr>
              <w:t>2024</w:t>
            </w:r>
          </w:p>
          <w:p>
            <w:pPr>
              <w:jc w:val="center"/>
              <w:textAlignment w:val="center"/>
              <w:rPr>
                <w:rFonts w:ascii="宋体" w:hAnsi="宋体" w:eastAsia="宋体" w:cs="宋体"/>
                <w:color w:val="000000"/>
              </w:rPr>
            </w:pPr>
            <w:r>
              <w:rPr>
                <w:rFonts w:hint="eastAsia" w:ascii="宋体" w:hAnsi="宋体" w:eastAsia="宋体" w:cs="宋体"/>
                <w:color w:val="000000"/>
              </w:rPr>
              <w:t>-2027</w:t>
            </w:r>
          </w:p>
        </w:tc>
        <w:tc>
          <w:tcPr>
            <w:tcW w:w="3375" w:type="dxa"/>
            <w:tcBorders>
              <w:top w:val="single" w:color="000000" w:sz="4" w:space="0"/>
              <w:left w:val="single" w:color="000000" w:sz="4" w:space="0"/>
              <w:bottom w:val="single" w:color="000000" w:sz="4" w:space="0"/>
              <w:right w:val="single" w:color="000000" w:sz="4" w:space="0"/>
            </w:tcBorders>
            <w:shd w:val="clear" w:color="auto" w:fill="auto"/>
          </w:tcPr>
          <w:p>
            <w:pPr>
              <w:textAlignment w:val="top"/>
              <w:rPr>
                <w:rFonts w:ascii="宋体" w:hAnsi="宋体" w:eastAsia="宋体" w:cs="宋体"/>
                <w:color w:val="000000"/>
              </w:rPr>
            </w:pPr>
            <w:r>
              <w:rPr>
                <w:rFonts w:hint="eastAsia" w:ascii="宋体" w:hAnsi="宋体" w:eastAsia="宋体" w:cs="宋体"/>
                <w:color w:val="000000"/>
              </w:rPr>
              <w:t>项目用地规模</w:t>
            </w:r>
            <w:r>
              <w:rPr>
                <w:rStyle w:val="31"/>
                <w:rFonts w:hint="default"/>
              </w:rPr>
              <w:t>33177平方米</w:t>
            </w:r>
            <w:r>
              <w:rPr>
                <w:rStyle w:val="31"/>
              </w:rPr>
              <w:t>，</w:t>
            </w:r>
            <w:r>
              <w:rPr>
                <w:rStyle w:val="31"/>
                <w:rFonts w:hint="default"/>
              </w:rPr>
              <w:t>总建筑面积39000平方米，班级规模为</w:t>
            </w:r>
            <w:r>
              <w:rPr>
                <w:rStyle w:val="30"/>
                <w:rFonts w:hint="eastAsia" w:ascii="宋体" w:hAnsi="宋体" w:eastAsia="宋体" w:cs="宋体"/>
              </w:rPr>
              <w:t>24</w:t>
            </w:r>
            <w:r>
              <w:rPr>
                <w:rStyle w:val="31"/>
                <w:rFonts w:hint="default"/>
              </w:rPr>
              <w:t>个</w:t>
            </w:r>
            <w:r>
              <w:rPr>
                <w:rStyle w:val="31"/>
              </w:rPr>
              <w:t>。</w:t>
            </w:r>
          </w:p>
        </w:tc>
        <w:tc>
          <w:tcPr>
            <w:tcW w:w="13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rPr>
            </w:pPr>
            <w:r>
              <w:rPr>
                <w:rFonts w:hint="eastAsia" w:ascii="宋体" w:hAnsi="宋体" w:eastAsia="宋体" w:cs="宋体"/>
                <w:color w:val="000000"/>
              </w:rPr>
              <w:t>2.5</w:t>
            </w:r>
          </w:p>
        </w:tc>
        <w:tc>
          <w:tcPr>
            <w:tcW w:w="2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rPr>
            </w:pPr>
            <w:r>
              <w:rPr>
                <w:rFonts w:hint="eastAsia" w:ascii="宋体" w:hAnsi="宋体" w:eastAsia="宋体" w:cs="宋体"/>
                <w:color w:val="000000"/>
              </w:rPr>
              <w:t>1</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000000"/>
              </w:rPr>
            </w:pPr>
            <w:r>
              <w:rPr>
                <w:rFonts w:hint="eastAsia" w:ascii="宋体" w:hAnsi="宋体" w:eastAsia="宋体" w:cs="宋体"/>
                <w:color w:val="000000"/>
              </w:rPr>
              <w:t>1200</w:t>
            </w:r>
          </w:p>
        </w:tc>
        <w:tc>
          <w:tcPr>
            <w:tcW w:w="1484"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textAlignment w:val="center"/>
              <w:rPr>
                <w:rFonts w:ascii="宋体" w:hAnsi="宋体" w:eastAsia="宋体" w:cs="宋体"/>
                <w:color w:val="000000"/>
              </w:rPr>
            </w:pPr>
            <w:r>
              <w:rPr>
                <w:rFonts w:hint="eastAsia" w:ascii="宋体" w:hAnsi="宋体" w:eastAsia="宋体" w:cs="宋体"/>
                <w:color w:val="000000"/>
              </w:rPr>
              <w:t>900</w:t>
            </w:r>
          </w:p>
        </w:tc>
      </w:tr>
      <w:tr>
        <w:tblPrEx>
          <w:tblCellMar>
            <w:top w:w="0" w:type="dxa"/>
            <w:left w:w="108" w:type="dxa"/>
            <w:bottom w:w="0" w:type="dxa"/>
            <w:right w:w="108" w:type="dxa"/>
          </w:tblCellMar>
        </w:tblPrEx>
        <w:trPr>
          <w:trHeight w:val="460" w:hRule="atLeast"/>
        </w:trPr>
        <w:tc>
          <w:tcPr>
            <w:tcW w:w="8471" w:type="dxa"/>
            <w:gridSpan w:val="5"/>
            <w:tcBorders>
              <w:top w:val="single" w:color="000000" w:sz="4" w:space="0"/>
              <w:left w:val="single" w:color="000000" w:sz="8"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b/>
                <w:bCs/>
                <w:color w:val="000000"/>
              </w:rPr>
            </w:pPr>
            <w:r>
              <w:rPr>
                <w:rFonts w:hint="eastAsia" w:ascii="宋体" w:hAnsi="宋体" w:eastAsia="宋体" w:cs="宋体"/>
                <w:b/>
                <w:bCs/>
                <w:color w:val="000000"/>
              </w:rPr>
              <w:t>小计</w:t>
            </w:r>
            <w:r>
              <w:rPr>
                <w:rStyle w:val="34"/>
                <w:rFonts w:hint="eastAsia" w:ascii="宋体" w:hAnsi="宋体" w:eastAsia="宋体" w:cs="宋体"/>
                <w:sz w:val="22"/>
                <w:szCs w:val="22"/>
              </w:rPr>
              <w:t>:</w:t>
            </w:r>
          </w:p>
        </w:tc>
        <w:tc>
          <w:tcPr>
            <w:tcW w:w="13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rPr>
            </w:pPr>
            <w:r>
              <w:rPr>
                <w:rFonts w:hint="eastAsia" w:ascii="宋体" w:hAnsi="宋体" w:eastAsia="宋体" w:cs="宋体"/>
                <w:color w:val="000000"/>
              </w:rPr>
              <w:t>89.665</w:t>
            </w:r>
          </w:p>
        </w:tc>
        <w:tc>
          <w:tcPr>
            <w:tcW w:w="2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rPr>
            </w:pPr>
            <w:r>
              <w:rPr>
                <w:rFonts w:hint="eastAsia" w:ascii="宋体" w:hAnsi="宋体" w:eastAsia="宋体" w:cs="宋体"/>
                <w:color w:val="000000"/>
              </w:rPr>
              <w:t>70.64</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000000"/>
              </w:rPr>
            </w:pPr>
            <w:r>
              <w:rPr>
                <w:rFonts w:hint="eastAsia" w:ascii="宋体" w:hAnsi="宋体" w:eastAsia="宋体" w:cs="宋体"/>
                <w:color w:val="000000"/>
              </w:rPr>
              <w:t>45330</w:t>
            </w:r>
          </w:p>
        </w:tc>
        <w:tc>
          <w:tcPr>
            <w:tcW w:w="1484"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textAlignment w:val="center"/>
              <w:rPr>
                <w:rFonts w:ascii="宋体" w:hAnsi="宋体" w:eastAsia="宋体" w:cs="宋体"/>
                <w:color w:val="000000"/>
              </w:rPr>
            </w:pPr>
            <w:r>
              <w:rPr>
                <w:rFonts w:hint="eastAsia" w:ascii="宋体" w:hAnsi="宋体" w:eastAsia="宋体" w:cs="宋体"/>
                <w:color w:val="000000"/>
              </w:rPr>
              <w:t>36235</w:t>
            </w:r>
          </w:p>
        </w:tc>
      </w:tr>
      <w:tr>
        <w:tblPrEx>
          <w:tblCellMar>
            <w:top w:w="0" w:type="dxa"/>
            <w:left w:w="108" w:type="dxa"/>
            <w:bottom w:w="0" w:type="dxa"/>
            <w:right w:w="108" w:type="dxa"/>
          </w:tblCellMar>
        </w:tblPrEx>
        <w:trPr>
          <w:trHeight w:val="500" w:hRule="atLeast"/>
        </w:trPr>
        <w:tc>
          <w:tcPr>
            <w:tcW w:w="14783" w:type="dxa"/>
            <w:gridSpan w:val="9"/>
            <w:tcBorders>
              <w:top w:val="single" w:color="000000" w:sz="4" w:space="0"/>
              <w:left w:val="single" w:color="000000" w:sz="8" w:space="0"/>
              <w:bottom w:val="single" w:color="000000" w:sz="4" w:space="0"/>
              <w:right w:val="single" w:color="000000" w:sz="4" w:space="0"/>
            </w:tcBorders>
            <w:shd w:val="clear" w:color="auto" w:fill="auto"/>
            <w:vAlign w:val="center"/>
          </w:tcPr>
          <w:p>
            <w:pPr>
              <w:textAlignment w:val="center"/>
              <w:rPr>
                <w:rFonts w:ascii="黑体" w:hAnsi="宋体" w:eastAsia="黑体" w:cs="黑体"/>
                <w:b/>
                <w:bCs/>
                <w:color w:val="000000"/>
                <w:sz w:val="24"/>
                <w:szCs w:val="24"/>
              </w:rPr>
            </w:pPr>
            <w:r>
              <w:rPr>
                <w:rFonts w:hint="eastAsia" w:ascii="黑体" w:hAnsi="宋体" w:eastAsia="黑体" w:cs="黑体"/>
                <w:b/>
                <w:bCs/>
                <w:color w:val="000000"/>
                <w:sz w:val="28"/>
                <w:szCs w:val="28"/>
              </w:rPr>
              <w:t>三、国际教育中心</w:t>
            </w:r>
          </w:p>
        </w:tc>
      </w:tr>
      <w:tr>
        <w:tblPrEx>
          <w:tblCellMar>
            <w:top w:w="0" w:type="dxa"/>
            <w:left w:w="108" w:type="dxa"/>
            <w:bottom w:w="0" w:type="dxa"/>
            <w:right w:w="108" w:type="dxa"/>
          </w:tblCellMar>
        </w:tblPrEx>
        <w:trPr>
          <w:trHeight w:val="1360" w:hRule="atLeast"/>
        </w:trPr>
        <w:tc>
          <w:tcPr>
            <w:tcW w:w="581"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rPr>
            </w:pPr>
            <w:r>
              <w:rPr>
                <w:rFonts w:hint="eastAsia" w:ascii="宋体" w:hAnsi="宋体" w:eastAsia="宋体" w:cs="宋体"/>
                <w:color w:val="000000"/>
              </w:rPr>
              <w:t>1</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color w:val="000000"/>
              </w:rPr>
            </w:pPr>
            <w:r>
              <w:rPr>
                <w:rFonts w:hint="eastAsia" w:ascii="宋体" w:hAnsi="宋体" w:eastAsia="宋体" w:cs="宋体"/>
                <w:color w:val="000000"/>
              </w:rPr>
              <w:t>七都未来科技岛国际教育中心</w:t>
            </w:r>
          </w:p>
        </w:tc>
        <w:tc>
          <w:tcPr>
            <w:tcW w:w="984"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color w:val="000000"/>
              </w:rPr>
            </w:pPr>
            <w:r>
              <w:rPr>
                <w:rFonts w:hint="eastAsia" w:ascii="宋体" w:hAnsi="宋体" w:eastAsia="宋体" w:cs="宋体"/>
                <w:color w:val="000000"/>
              </w:rPr>
              <w:t>新建</w:t>
            </w:r>
          </w:p>
        </w:tc>
        <w:tc>
          <w:tcPr>
            <w:tcW w:w="13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000000"/>
              </w:rPr>
            </w:pPr>
            <w:r>
              <w:rPr>
                <w:rFonts w:hint="eastAsia" w:ascii="宋体" w:hAnsi="宋体" w:eastAsia="宋体" w:cs="宋体"/>
                <w:color w:val="000000"/>
              </w:rPr>
              <w:t>2024</w:t>
            </w:r>
          </w:p>
          <w:p>
            <w:pPr>
              <w:jc w:val="center"/>
              <w:textAlignment w:val="center"/>
              <w:rPr>
                <w:rFonts w:ascii="宋体" w:hAnsi="宋体" w:eastAsia="宋体" w:cs="宋体"/>
                <w:color w:val="000000"/>
              </w:rPr>
            </w:pPr>
            <w:r>
              <w:rPr>
                <w:rFonts w:hint="eastAsia" w:ascii="宋体" w:hAnsi="宋体" w:eastAsia="宋体" w:cs="宋体"/>
                <w:color w:val="000000"/>
              </w:rPr>
              <w:t>-2028</w:t>
            </w:r>
          </w:p>
        </w:tc>
        <w:tc>
          <w:tcPr>
            <w:tcW w:w="3375"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color w:val="000000"/>
              </w:rPr>
            </w:pPr>
            <w:r>
              <w:rPr>
                <w:rFonts w:hint="eastAsia" w:ascii="宋体" w:hAnsi="宋体" w:eastAsia="宋体" w:cs="宋体"/>
                <w:color w:val="000000"/>
              </w:rPr>
              <w:t>用地面积</w:t>
            </w:r>
            <w:r>
              <w:rPr>
                <w:rStyle w:val="30"/>
                <w:rFonts w:hint="eastAsia" w:ascii="宋体" w:hAnsi="宋体" w:eastAsia="宋体" w:cs="宋体"/>
              </w:rPr>
              <w:t xml:space="preserve"> 150 </w:t>
            </w:r>
            <w:r>
              <w:rPr>
                <w:rStyle w:val="31"/>
                <w:rFonts w:hint="default"/>
              </w:rPr>
              <w:t>亩左右，计容建筑面积约</w:t>
            </w:r>
            <w:r>
              <w:rPr>
                <w:rStyle w:val="30"/>
                <w:rFonts w:hint="eastAsia" w:ascii="宋体" w:hAnsi="宋体" w:eastAsia="宋体" w:cs="宋体"/>
              </w:rPr>
              <w:t xml:space="preserve"> 12 </w:t>
            </w:r>
            <w:r>
              <w:rPr>
                <w:rStyle w:val="31"/>
                <w:rFonts w:hint="default"/>
              </w:rPr>
              <w:t>万平方米，引进知名教育机构，打造与国际名校直通的从幼儿园到高中全龄段国际教育服务体系。</w:t>
            </w:r>
          </w:p>
        </w:tc>
        <w:tc>
          <w:tcPr>
            <w:tcW w:w="13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rPr>
            </w:pPr>
            <w:r>
              <w:rPr>
                <w:rFonts w:hint="eastAsia" w:ascii="宋体" w:hAnsi="宋体" w:eastAsia="宋体" w:cs="宋体"/>
                <w:color w:val="000000"/>
              </w:rPr>
              <w:t>9</w:t>
            </w:r>
          </w:p>
        </w:tc>
        <w:tc>
          <w:tcPr>
            <w:tcW w:w="2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rPr>
            </w:pPr>
            <w:r>
              <w:rPr>
                <w:rFonts w:hint="eastAsia" w:ascii="宋体" w:hAnsi="宋体" w:eastAsia="宋体" w:cs="宋体"/>
                <w:color w:val="000000"/>
              </w:rPr>
              <w:t>1</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000000"/>
              </w:rPr>
            </w:pPr>
            <w:r>
              <w:rPr>
                <w:rFonts w:hint="eastAsia" w:ascii="宋体" w:hAnsi="宋体" w:eastAsia="宋体" w:cs="宋体"/>
                <w:color w:val="000000"/>
              </w:rPr>
              <w:t>幼儿园</w:t>
            </w:r>
            <w:r>
              <w:rPr>
                <w:rStyle w:val="30"/>
                <w:rFonts w:hint="eastAsia" w:ascii="宋体" w:hAnsi="宋体" w:eastAsia="宋体" w:cs="宋体"/>
              </w:rPr>
              <w:t>540</w:t>
            </w:r>
            <w:r>
              <w:rPr>
                <w:rStyle w:val="31"/>
                <w:rFonts w:hint="default"/>
              </w:rPr>
              <w:t>小学</w:t>
            </w:r>
            <w:r>
              <w:rPr>
                <w:rStyle w:val="30"/>
                <w:rFonts w:hint="eastAsia" w:ascii="宋体" w:hAnsi="宋体" w:eastAsia="宋体" w:cs="宋体"/>
              </w:rPr>
              <w:t>630</w:t>
            </w:r>
            <w:r>
              <w:rPr>
                <w:rStyle w:val="30"/>
                <w:rFonts w:hint="eastAsia" w:ascii="宋体" w:hAnsi="宋体" w:eastAsia="宋体" w:cs="宋体"/>
              </w:rPr>
              <w:br w:type="textWrapping"/>
            </w:r>
            <w:r>
              <w:rPr>
                <w:rStyle w:val="31"/>
                <w:rFonts w:hint="default"/>
              </w:rPr>
              <w:t>初中</w:t>
            </w:r>
            <w:r>
              <w:rPr>
                <w:rStyle w:val="30"/>
                <w:rFonts w:hint="eastAsia" w:ascii="宋体" w:hAnsi="宋体" w:eastAsia="宋体" w:cs="宋体"/>
              </w:rPr>
              <w:t>720</w:t>
            </w:r>
            <w:r>
              <w:rPr>
                <w:rStyle w:val="30"/>
                <w:rFonts w:hint="eastAsia" w:ascii="宋体" w:hAnsi="宋体" w:eastAsia="宋体" w:cs="宋体"/>
              </w:rPr>
              <w:br w:type="textWrapping"/>
            </w:r>
            <w:r>
              <w:rPr>
                <w:rStyle w:val="31"/>
                <w:rFonts w:hint="default"/>
              </w:rPr>
              <w:t>高中</w:t>
            </w:r>
            <w:r>
              <w:rPr>
                <w:rStyle w:val="30"/>
                <w:rFonts w:hint="eastAsia" w:ascii="宋体" w:hAnsi="宋体" w:eastAsia="宋体" w:cs="宋体"/>
              </w:rPr>
              <w:t>720</w:t>
            </w:r>
          </w:p>
        </w:tc>
        <w:tc>
          <w:tcPr>
            <w:tcW w:w="1484"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textAlignment w:val="center"/>
              <w:rPr>
                <w:rFonts w:ascii="宋体" w:hAnsi="宋体" w:eastAsia="宋体" w:cs="宋体"/>
                <w:color w:val="000000"/>
              </w:rPr>
            </w:pPr>
            <w:r>
              <w:rPr>
                <w:rFonts w:hint="eastAsia" w:ascii="宋体" w:hAnsi="宋体" w:eastAsia="宋体" w:cs="宋体"/>
                <w:color w:val="000000"/>
              </w:rPr>
              <w:t>2070</w:t>
            </w:r>
          </w:p>
        </w:tc>
      </w:tr>
      <w:tr>
        <w:tblPrEx>
          <w:tblCellMar>
            <w:top w:w="0" w:type="dxa"/>
            <w:left w:w="108" w:type="dxa"/>
            <w:bottom w:w="0" w:type="dxa"/>
            <w:right w:w="108" w:type="dxa"/>
          </w:tblCellMar>
        </w:tblPrEx>
        <w:trPr>
          <w:trHeight w:val="340" w:hRule="atLeast"/>
        </w:trPr>
        <w:tc>
          <w:tcPr>
            <w:tcW w:w="8471" w:type="dxa"/>
            <w:gridSpan w:val="5"/>
            <w:tcBorders>
              <w:top w:val="single" w:color="000000" w:sz="4" w:space="0"/>
              <w:left w:val="single" w:color="000000" w:sz="8"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b/>
                <w:bCs/>
                <w:color w:val="000000"/>
              </w:rPr>
            </w:pPr>
            <w:r>
              <w:rPr>
                <w:rFonts w:hint="eastAsia" w:ascii="宋体" w:hAnsi="宋体" w:eastAsia="宋体" w:cs="宋体"/>
                <w:b/>
                <w:bCs/>
                <w:color w:val="000000"/>
              </w:rPr>
              <w:t>小计</w:t>
            </w:r>
            <w:r>
              <w:rPr>
                <w:rStyle w:val="34"/>
                <w:rFonts w:hint="eastAsia" w:ascii="宋体" w:hAnsi="宋体" w:eastAsia="宋体" w:cs="宋体"/>
                <w:sz w:val="22"/>
                <w:szCs w:val="22"/>
              </w:rPr>
              <w:t>:</w:t>
            </w:r>
          </w:p>
        </w:tc>
        <w:tc>
          <w:tcPr>
            <w:tcW w:w="13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rPr>
            </w:pPr>
            <w:r>
              <w:rPr>
                <w:rFonts w:hint="eastAsia" w:ascii="宋体" w:hAnsi="宋体" w:eastAsia="宋体" w:cs="宋体"/>
                <w:color w:val="000000"/>
              </w:rPr>
              <w:t>9</w:t>
            </w:r>
          </w:p>
        </w:tc>
        <w:tc>
          <w:tcPr>
            <w:tcW w:w="2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rPr>
            </w:pPr>
            <w:r>
              <w:rPr>
                <w:rFonts w:hint="eastAsia" w:ascii="宋体" w:hAnsi="宋体" w:eastAsia="宋体" w:cs="宋体"/>
                <w:color w:val="000000"/>
              </w:rPr>
              <w:t>1</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000000"/>
              </w:rPr>
            </w:pPr>
            <w:r>
              <w:rPr>
                <w:rFonts w:hint="eastAsia" w:ascii="宋体" w:hAnsi="宋体" w:eastAsia="宋体" w:cs="宋体"/>
                <w:color w:val="000000"/>
              </w:rPr>
              <w:t>2070</w:t>
            </w:r>
          </w:p>
        </w:tc>
        <w:tc>
          <w:tcPr>
            <w:tcW w:w="1484"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textAlignment w:val="center"/>
              <w:rPr>
                <w:rFonts w:ascii="宋体" w:hAnsi="宋体" w:eastAsia="宋体" w:cs="宋体"/>
                <w:color w:val="000000"/>
              </w:rPr>
            </w:pPr>
            <w:r>
              <w:rPr>
                <w:rFonts w:hint="eastAsia" w:ascii="宋体" w:hAnsi="宋体" w:eastAsia="宋体" w:cs="宋体"/>
                <w:color w:val="000000"/>
              </w:rPr>
              <w:t>2070</w:t>
            </w:r>
          </w:p>
        </w:tc>
      </w:tr>
      <w:tr>
        <w:tblPrEx>
          <w:tblCellMar>
            <w:top w:w="0" w:type="dxa"/>
            <w:left w:w="108" w:type="dxa"/>
            <w:bottom w:w="0" w:type="dxa"/>
            <w:right w:w="108" w:type="dxa"/>
          </w:tblCellMar>
        </w:tblPrEx>
        <w:trPr>
          <w:trHeight w:val="540" w:hRule="atLeast"/>
        </w:trPr>
        <w:tc>
          <w:tcPr>
            <w:tcW w:w="14783" w:type="dxa"/>
            <w:gridSpan w:val="9"/>
            <w:tcBorders>
              <w:top w:val="single" w:color="000000" w:sz="4" w:space="0"/>
              <w:left w:val="single" w:color="000000" w:sz="8" w:space="0"/>
              <w:bottom w:val="single" w:color="000000" w:sz="4" w:space="0"/>
              <w:right w:val="single" w:color="000000" w:sz="4" w:space="0"/>
            </w:tcBorders>
            <w:shd w:val="clear" w:color="auto" w:fill="auto"/>
            <w:vAlign w:val="center"/>
          </w:tcPr>
          <w:p>
            <w:pPr>
              <w:textAlignment w:val="center"/>
              <w:rPr>
                <w:rFonts w:ascii="黑体" w:hAnsi="宋体" w:eastAsia="黑体" w:cs="黑体"/>
                <w:b/>
                <w:bCs/>
                <w:color w:val="000000"/>
                <w:sz w:val="24"/>
                <w:szCs w:val="24"/>
              </w:rPr>
            </w:pPr>
            <w:r>
              <w:rPr>
                <w:rFonts w:hint="eastAsia" w:ascii="黑体" w:hAnsi="宋体" w:eastAsia="黑体" w:cs="黑体"/>
                <w:b/>
                <w:bCs/>
                <w:color w:val="000000"/>
                <w:sz w:val="28"/>
                <w:szCs w:val="28"/>
              </w:rPr>
              <w:t>四、职业教育</w:t>
            </w:r>
          </w:p>
        </w:tc>
      </w:tr>
      <w:tr>
        <w:tblPrEx>
          <w:tblCellMar>
            <w:top w:w="0" w:type="dxa"/>
            <w:left w:w="108" w:type="dxa"/>
            <w:bottom w:w="0" w:type="dxa"/>
            <w:right w:w="108" w:type="dxa"/>
          </w:tblCellMar>
        </w:tblPrEx>
        <w:trPr>
          <w:trHeight w:val="914" w:hRule="atLeast"/>
        </w:trPr>
        <w:tc>
          <w:tcPr>
            <w:tcW w:w="581" w:type="dxa"/>
            <w:tcBorders>
              <w:top w:val="single" w:color="000000" w:sz="4" w:space="0"/>
              <w:left w:val="single" w:color="000000" w:sz="8" w:space="0"/>
              <w:bottom w:val="single" w:color="000000" w:sz="8" w:space="0"/>
              <w:right w:val="single" w:color="000000" w:sz="4" w:space="0"/>
            </w:tcBorders>
            <w:shd w:val="clear" w:color="auto" w:fill="auto"/>
            <w:noWrap/>
            <w:vAlign w:val="center"/>
          </w:tcPr>
          <w:p>
            <w:pPr>
              <w:jc w:val="center"/>
              <w:textAlignment w:val="center"/>
              <w:rPr>
                <w:rFonts w:ascii="宋体" w:hAnsi="宋体" w:eastAsia="宋体" w:cs="宋体"/>
                <w:color w:val="000000"/>
              </w:rPr>
            </w:pPr>
            <w:r>
              <w:rPr>
                <w:rFonts w:hint="eastAsia" w:ascii="宋体" w:hAnsi="宋体" w:eastAsia="宋体" w:cs="宋体"/>
                <w:color w:val="000000"/>
              </w:rPr>
              <w:t>1</w:t>
            </w:r>
          </w:p>
        </w:tc>
        <w:tc>
          <w:tcPr>
            <w:tcW w:w="2138" w:type="dxa"/>
            <w:tcBorders>
              <w:top w:val="single" w:color="000000" w:sz="4" w:space="0"/>
              <w:left w:val="single" w:color="000000" w:sz="4" w:space="0"/>
              <w:bottom w:val="single" w:color="000000" w:sz="8" w:space="0"/>
              <w:right w:val="single" w:color="000000" w:sz="4" w:space="0"/>
            </w:tcBorders>
            <w:shd w:val="clear" w:color="auto" w:fill="auto"/>
            <w:vAlign w:val="center"/>
          </w:tcPr>
          <w:p>
            <w:pPr>
              <w:textAlignment w:val="center"/>
              <w:rPr>
                <w:rFonts w:ascii="宋体" w:hAnsi="宋体" w:eastAsia="宋体" w:cs="宋体"/>
                <w:color w:val="000000"/>
              </w:rPr>
            </w:pPr>
            <w:r>
              <w:rPr>
                <w:rFonts w:hint="eastAsia" w:ascii="宋体" w:hAnsi="宋体" w:eastAsia="宋体" w:cs="宋体"/>
                <w:color w:val="000000"/>
              </w:rPr>
              <w:t>鹿城职业技术学校扩建（暂名）</w:t>
            </w:r>
          </w:p>
        </w:tc>
        <w:tc>
          <w:tcPr>
            <w:tcW w:w="984" w:type="dxa"/>
            <w:tcBorders>
              <w:top w:val="single" w:color="000000" w:sz="4" w:space="0"/>
              <w:left w:val="single" w:color="000000" w:sz="4" w:space="0"/>
              <w:bottom w:val="single" w:color="000000" w:sz="8" w:space="0"/>
              <w:right w:val="single" w:color="000000" w:sz="4" w:space="0"/>
            </w:tcBorders>
            <w:shd w:val="clear" w:color="auto" w:fill="auto"/>
            <w:vAlign w:val="center"/>
          </w:tcPr>
          <w:p>
            <w:pPr>
              <w:textAlignment w:val="center"/>
              <w:rPr>
                <w:rFonts w:ascii="宋体" w:hAnsi="宋体" w:eastAsia="宋体" w:cs="宋体"/>
                <w:color w:val="000000"/>
              </w:rPr>
            </w:pPr>
            <w:r>
              <w:rPr>
                <w:rFonts w:hint="eastAsia" w:ascii="宋体" w:hAnsi="宋体" w:eastAsia="宋体" w:cs="宋体"/>
                <w:color w:val="000000"/>
              </w:rPr>
              <w:t>续建</w:t>
            </w:r>
          </w:p>
        </w:tc>
        <w:tc>
          <w:tcPr>
            <w:tcW w:w="1393" w:type="dxa"/>
            <w:tcBorders>
              <w:top w:val="single" w:color="000000" w:sz="4" w:space="0"/>
              <w:left w:val="single" w:color="000000" w:sz="4" w:space="0"/>
              <w:bottom w:val="single" w:color="000000" w:sz="8" w:space="0"/>
              <w:right w:val="single" w:color="000000" w:sz="4" w:space="0"/>
            </w:tcBorders>
            <w:shd w:val="clear" w:color="auto" w:fill="auto"/>
            <w:vAlign w:val="center"/>
          </w:tcPr>
          <w:p>
            <w:pPr>
              <w:jc w:val="center"/>
              <w:textAlignment w:val="center"/>
              <w:rPr>
                <w:rStyle w:val="35"/>
                <w:rFonts w:hint="default"/>
                <w:sz w:val="22"/>
                <w:szCs w:val="22"/>
              </w:rPr>
            </w:pPr>
            <w:r>
              <w:rPr>
                <w:rStyle w:val="35"/>
                <w:rFonts w:hint="default"/>
                <w:sz w:val="22"/>
                <w:szCs w:val="22"/>
              </w:rPr>
              <w:t>2020</w:t>
            </w:r>
          </w:p>
          <w:p>
            <w:pPr>
              <w:jc w:val="center"/>
              <w:textAlignment w:val="center"/>
              <w:rPr>
                <w:rFonts w:ascii="宋体" w:hAnsi="宋体" w:eastAsia="宋体" w:cs="宋体"/>
                <w:color w:val="000000"/>
              </w:rPr>
            </w:pPr>
            <w:r>
              <w:rPr>
                <w:rStyle w:val="35"/>
                <w:rFonts w:hint="default"/>
                <w:sz w:val="22"/>
                <w:szCs w:val="22"/>
              </w:rPr>
              <w:t>-2023</w:t>
            </w:r>
          </w:p>
        </w:tc>
        <w:tc>
          <w:tcPr>
            <w:tcW w:w="3375" w:type="dxa"/>
            <w:tcBorders>
              <w:top w:val="single" w:color="000000" w:sz="4" w:space="0"/>
              <w:left w:val="single" w:color="000000" w:sz="4" w:space="0"/>
              <w:bottom w:val="single" w:color="000000" w:sz="8" w:space="0"/>
              <w:right w:val="single" w:color="000000" w:sz="4" w:space="0"/>
            </w:tcBorders>
            <w:shd w:val="clear" w:color="auto" w:fill="auto"/>
          </w:tcPr>
          <w:p>
            <w:pPr>
              <w:textAlignment w:val="top"/>
              <w:rPr>
                <w:rFonts w:ascii="宋体" w:hAnsi="宋体" w:eastAsia="宋体" w:cs="宋体"/>
                <w:color w:val="000000"/>
              </w:rPr>
            </w:pPr>
            <w:r>
              <w:rPr>
                <w:rStyle w:val="31"/>
                <w:rFonts w:hint="default"/>
              </w:rPr>
              <w:t>项目用地面积 29686 平方米，总建筑面积（扩建）42968 平方米，新增班级规模20个。</w:t>
            </w:r>
          </w:p>
        </w:tc>
        <w:tc>
          <w:tcPr>
            <w:tcW w:w="1359" w:type="dxa"/>
            <w:tcBorders>
              <w:top w:val="single" w:color="000000" w:sz="4" w:space="0"/>
              <w:left w:val="single" w:color="000000" w:sz="4" w:space="0"/>
              <w:bottom w:val="single" w:color="000000" w:sz="8" w:space="0"/>
              <w:right w:val="single" w:color="000000" w:sz="4" w:space="0"/>
            </w:tcBorders>
            <w:shd w:val="clear" w:color="auto" w:fill="auto"/>
            <w:noWrap/>
            <w:vAlign w:val="center"/>
          </w:tcPr>
          <w:p>
            <w:pPr>
              <w:jc w:val="center"/>
              <w:textAlignment w:val="center"/>
              <w:rPr>
                <w:rFonts w:ascii="宋体" w:hAnsi="宋体" w:eastAsia="宋体" w:cs="宋体"/>
                <w:color w:val="000000"/>
              </w:rPr>
            </w:pPr>
            <w:r>
              <w:rPr>
                <w:rFonts w:hint="eastAsia" w:ascii="宋体" w:hAnsi="宋体" w:eastAsia="宋体" w:cs="宋体"/>
                <w:color w:val="000000"/>
              </w:rPr>
              <w:t>1.76</w:t>
            </w:r>
          </w:p>
        </w:tc>
        <w:tc>
          <w:tcPr>
            <w:tcW w:w="2016" w:type="dxa"/>
            <w:tcBorders>
              <w:top w:val="single" w:color="000000" w:sz="4" w:space="0"/>
              <w:left w:val="single" w:color="000000" w:sz="4" w:space="0"/>
              <w:bottom w:val="single" w:color="000000" w:sz="8" w:space="0"/>
              <w:right w:val="single" w:color="000000" w:sz="4" w:space="0"/>
            </w:tcBorders>
            <w:shd w:val="clear" w:color="auto" w:fill="auto"/>
            <w:noWrap/>
            <w:vAlign w:val="center"/>
          </w:tcPr>
          <w:p>
            <w:pPr>
              <w:jc w:val="center"/>
              <w:textAlignment w:val="center"/>
              <w:rPr>
                <w:rFonts w:ascii="宋体" w:hAnsi="宋体" w:eastAsia="宋体" w:cs="宋体"/>
                <w:color w:val="000000"/>
              </w:rPr>
            </w:pPr>
            <w:r>
              <w:rPr>
                <w:rFonts w:hint="eastAsia" w:ascii="宋体" w:hAnsi="宋体" w:eastAsia="宋体" w:cs="宋体"/>
                <w:color w:val="000000"/>
              </w:rPr>
              <w:t>1.70</w:t>
            </w:r>
          </w:p>
        </w:tc>
        <w:tc>
          <w:tcPr>
            <w:tcW w:w="1453" w:type="dxa"/>
            <w:tcBorders>
              <w:top w:val="single" w:color="000000" w:sz="4" w:space="0"/>
              <w:left w:val="single" w:color="000000" w:sz="4" w:space="0"/>
              <w:bottom w:val="single" w:color="000000" w:sz="8" w:space="0"/>
              <w:right w:val="single" w:color="000000" w:sz="4" w:space="0"/>
            </w:tcBorders>
            <w:shd w:val="clear" w:color="auto" w:fill="auto"/>
            <w:noWrap/>
            <w:vAlign w:val="center"/>
          </w:tcPr>
          <w:p>
            <w:pPr>
              <w:jc w:val="center"/>
              <w:textAlignment w:val="center"/>
              <w:rPr>
                <w:rFonts w:ascii="宋体" w:hAnsi="宋体" w:eastAsia="宋体" w:cs="宋体"/>
                <w:color w:val="000000"/>
              </w:rPr>
            </w:pPr>
            <w:r>
              <w:rPr>
                <w:rFonts w:hint="eastAsia" w:ascii="宋体" w:hAnsi="宋体" w:eastAsia="宋体" w:cs="宋体"/>
                <w:color w:val="000000"/>
              </w:rPr>
              <w:t>1800</w:t>
            </w:r>
          </w:p>
        </w:tc>
        <w:tc>
          <w:tcPr>
            <w:tcW w:w="1484" w:type="dxa"/>
            <w:tcBorders>
              <w:top w:val="single" w:color="000000" w:sz="4" w:space="0"/>
              <w:left w:val="single" w:color="000000" w:sz="4" w:space="0"/>
              <w:bottom w:val="single" w:color="000000" w:sz="8" w:space="0"/>
              <w:right w:val="single" w:color="000000" w:sz="8" w:space="0"/>
            </w:tcBorders>
            <w:shd w:val="clear" w:color="auto" w:fill="auto"/>
            <w:noWrap/>
            <w:vAlign w:val="center"/>
          </w:tcPr>
          <w:p>
            <w:pPr>
              <w:jc w:val="center"/>
              <w:textAlignment w:val="center"/>
              <w:rPr>
                <w:rFonts w:ascii="宋体" w:hAnsi="宋体" w:eastAsia="宋体" w:cs="宋体"/>
                <w:color w:val="000000"/>
              </w:rPr>
            </w:pPr>
            <w:r>
              <w:rPr>
                <w:rFonts w:hint="eastAsia" w:ascii="宋体" w:hAnsi="宋体" w:eastAsia="宋体" w:cs="宋体"/>
                <w:color w:val="000000"/>
              </w:rPr>
              <w:t>1000</w:t>
            </w:r>
          </w:p>
        </w:tc>
      </w:tr>
    </w:tbl>
    <w:p>
      <w:pPr>
        <w:pStyle w:val="2"/>
        <w:ind w:firstLine="0"/>
        <w:rPr>
          <w:rFonts w:ascii="仿宋" w:hAnsi="仿宋" w:eastAsia="仿宋" w:cs="仿宋"/>
          <w:szCs w:val="28"/>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Arial">
    <w:panose1 w:val="020B0604020202020204"/>
    <w:charset w:val="00"/>
    <w:family w:val="swiss"/>
    <w:pitch w:val="default"/>
    <w:sig w:usb0="E0002EFF" w:usb1="C000785B" w:usb2="00000009" w:usb3="00000000" w:csb0="400001FF" w:csb1="FFFF0000"/>
  </w:font>
  <w:font w:name="Calibri Light">
    <w:panose1 w:val="020F0302020204030204"/>
    <w:charset w:val="00"/>
    <w:family w:val="swiss"/>
    <w:pitch w:val="default"/>
    <w:sig w:usb0="E4002EFF" w:usb1="C000247B" w:usb2="00000009" w:usb3="00000000" w:csb0="200001FF" w:csb1="00000000"/>
  </w:font>
  <w:font w:name="楷体_GB2312">
    <w:altName w:val="楷体"/>
    <w:panose1 w:val="00000000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137941173"/>
    </w:sdtPr>
    <w:sdtContent>
      <w:p>
        <w:pPr>
          <w:pStyle w:val="10"/>
          <w:jc w:val="center"/>
        </w:pPr>
        <w:r>
          <w:fldChar w:fldCharType="begin"/>
        </w:r>
        <w:r>
          <w:instrText xml:space="preserve">PAGE   \* MERGEFORMAT</w:instrText>
        </w:r>
        <w:r>
          <w:fldChar w:fldCharType="separate"/>
        </w:r>
        <w:r>
          <w:rPr>
            <w:lang w:val="zh-CN"/>
          </w:rPr>
          <w:t>3</w:t>
        </w:r>
        <w:r>
          <w:rPr>
            <w:lang w:val="zh-CN"/>
          </w:rPr>
          <w:fldChar w:fldCharType="end"/>
        </w:r>
      </w:p>
    </w:sdtContent>
  </w:sdt>
  <w:p>
    <w:pPr>
      <w:pStyle w:val="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Bdr>
        <w:bottom w:val="dotted" w:color="auto" w:sz="4" w:space="0"/>
      </w:pBdr>
      <w:spacing w:line="360" w:lineRule="auto"/>
      <w:jc w:val="center"/>
      <w:rPr>
        <w:b/>
        <w:bCs/>
        <w:sz w:val="24"/>
        <w:szCs w:val="24"/>
      </w:rPr>
    </w:pPr>
    <w:r>
      <w:rPr>
        <w:rFonts w:hint="eastAsia" w:ascii="仿宋" w:hAnsi="仿宋" w:eastAsia="仿宋" w:cs="仿宋"/>
        <w:b/>
        <w:bCs/>
      </w:rPr>
      <w:t>温州市鹿城区教育事业发展“十四五”规划</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文心雕龙">
    <w15:presenceInfo w15:providerId="WPS Office" w15:userId="4168469198"/>
  </w15:person>
  <w15:person w15:author="马卡龙小红妹">
    <w15:presenceInfo w15:providerId="WPS Office" w15:userId="33668194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rawingGridHorizontalSpacing w:val="110"/>
  <w:drawingGridVerticalSpacing w:val="156"/>
  <w:noPunctuationKerning w:val="1"/>
  <w:characterSpacingControl w:val="compressPunctuation"/>
  <w:footnotePr>
    <w:footnote w:id="0"/>
    <w:footnote w:id="1"/>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72B53FA"/>
    <w:rsid w:val="0000575E"/>
    <w:rsid w:val="00005E00"/>
    <w:rsid w:val="00007BDB"/>
    <w:rsid w:val="00012E3D"/>
    <w:rsid w:val="00013B29"/>
    <w:rsid w:val="00020C01"/>
    <w:rsid w:val="000233DE"/>
    <w:rsid w:val="00026D85"/>
    <w:rsid w:val="00051884"/>
    <w:rsid w:val="00052F23"/>
    <w:rsid w:val="00060835"/>
    <w:rsid w:val="00060BB7"/>
    <w:rsid w:val="0006739F"/>
    <w:rsid w:val="00070BE0"/>
    <w:rsid w:val="00071AE4"/>
    <w:rsid w:val="0007416B"/>
    <w:rsid w:val="00074AD6"/>
    <w:rsid w:val="00074FB5"/>
    <w:rsid w:val="00076373"/>
    <w:rsid w:val="00081D2E"/>
    <w:rsid w:val="00083CF5"/>
    <w:rsid w:val="00087348"/>
    <w:rsid w:val="00087E4B"/>
    <w:rsid w:val="00094930"/>
    <w:rsid w:val="00095250"/>
    <w:rsid w:val="000A17EA"/>
    <w:rsid w:val="000A2044"/>
    <w:rsid w:val="000A5AFD"/>
    <w:rsid w:val="000A7A54"/>
    <w:rsid w:val="000B0DA0"/>
    <w:rsid w:val="000B7658"/>
    <w:rsid w:val="000C0846"/>
    <w:rsid w:val="000C71D4"/>
    <w:rsid w:val="000D31ED"/>
    <w:rsid w:val="000D3D88"/>
    <w:rsid w:val="000D47E5"/>
    <w:rsid w:val="000D4EBF"/>
    <w:rsid w:val="000E298C"/>
    <w:rsid w:val="00101CE7"/>
    <w:rsid w:val="00110D3A"/>
    <w:rsid w:val="00117208"/>
    <w:rsid w:val="001231F8"/>
    <w:rsid w:val="001409C0"/>
    <w:rsid w:val="00146439"/>
    <w:rsid w:val="00154BD3"/>
    <w:rsid w:val="00156911"/>
    <w:rsid w:val="0016332E"/>
    <w:rsid w:val="00172F96"/>
    <w:rsid w:val="001824A6"/>
    <w:rsid w:val="00192FC6"/>
    <w:rsid w:val="00193C99"/>
    <w:rsid w:val="00197F1C"/>
    <w:rsid w:val="001A68A7"/>
    <w:rsid w:val="001B7BCF"/>
    <w:rsid w:val="001B7EB3"/>
    <w:rsid w:val="001C1FB4"/>
    <w:rsid w:val="001C41AB"/>
    <w:rsid w:val="001C5193"/>
    <w:rsid w:val="001D1C7C"/>
    <w:rsid w:val="001D1DEA"/>
    <w:rsid w:val="001D7F96"/>
    <w:rsid w:val="001E5F91"/>
    <w:rsid w:val="001E7B03"/>
    <w:rsid w:val="001F3C5A"/>
    <w:rsid w:val="002055AA"/>
    <w:rsid w:val="00215D5F"/>
    <w:rsid w:val="00220351"/>
    <w:rsid w:val="002213BD"/>
    <w:rsid w:val="00223463"/>
    <w:rsid w:val="00223568"/>
    <w:rsid w:val="0022559B"/>
    <w:rsid w:val="0022735F"/>
    <w:rsid w:val="002409CA"/>
    <w:rsid w:val="00240D8D"/>
    <w:rsid w:val="00242F5F"/>
    <w:rsid w:val="00245B87"/>
    <w:rsid w:val="00256B45"/>
    <w:rsid w:val="002572F3"/>
    <w:rsid w:val="00264D04"/>
    <w:rsid w:val="00265C61"/>
    <w:rsid w:val="00271A39"/>
    <w:rsid w:val="00273E33"/>
    <w:rsid w:val="00277822"/>
    <w:rsid w:val="00281E39"/>
    <w:rsid w:val="00297078"/>
    <w:rsid w:val="002A48AB"/>
    <w:rsid w:val="002B1840"/>
    <w:rsid w:val="002B2220"/>
    <w:rsid w:val="002B38FD"/>
    <w:rsid w:val="002C1959"/>
    <w:rsid w:val="002C2594"/>
    <w:rsid w:val="002D0AE6"/>
    <w:rsid w:val="002D10E4"/>
    <w:rsid w:val="002E34B7"/>
    <w:rsid w:val="002E4AAF"/>
    <w:rsid w:val="002F2CE7"/>
    <w:rsid w:val="002F2F63"/>
    <w:rsid w:val="002F6872"/>
    <w:rsid w:val="00305FE8"/>
    <w:rsid w:val="0031023A"/>
    <w:rsid w:val="00313540"/>
    <w:rsid w:val="00314C94"/>
    <w:rsid w:val="0032021F"/>
    <w:rsid w:val="003203D7"/>
    <w:rsid w:val="003239F6"/>
    <w:rsid w:val="00324253"/>
    <w:rsid w:val="00324A8B"/>
    <w:rsid w:val="00326D04"/>
    <w:rsid w:val="0032790E"/>
    <w:rsid w:val="003343EC"/>
    <w:rsid w:val="00336369"/>
    <w:rsid w:val="00337CA9"/>
    <w:rsid w:val="0034012E"/>
    <w:rsid w:val="00341161"/>
    <w:rsid w:val="0034633B"/>
    <w:rsid w:val="00346DA7"/>
    <w:rsid w:val="0035595F"/>
    <w:rsid w:val="00356898"/>
    <w:rsid w:val="00360502"/>
    <w:rsid w:val="003639D8"/>
    <w:rsid w:val="00370C75"/>
    <w:rsid w:val="00371BC2"/>
    <w:rsid w:val="003728E1"/>
    <w:rsid w:val="00373E1B"/>
    <w:rsid w:val="003777E7"/>
    <w:rsid w:val="003829B2"/>
    <w:rsid w:val="00385196"/>
    <w:rsid w:val="00391757"/>
    <w:rsid w:val="003950B7"/>
    <w:rsid w:val="003A6251"/>
    <w:rsid w:val="003A6AD5"/>
    <w:rsid w:val="003C2059"/>
    <w:rsid w:val="003D09A4"/>
    <w:rsid w:val="003E5D97"/>
    <w:rsid w:val="003F0A06"/>
    <w:rsid w:val="004000C6"/>
    <w:rsid w:val="004022B5"/>
    <w:rsid w:val="0040239F"/>
    <w:rsid w:val="0040293D"/>
    <w:rsid w:val="0040309B"/>
    <w:rsid w:val="00403610"/>
    <w:rsid w:val="004045C0"/>
    <w:rsid w:val="004045E2"/>
    <w:rsid w:val="00411531"/>
    <w:rsid w:val="00432BCE"/>
    <w:rsid w:val="004414A2"/>
    <w:rsid w:val="00442B91"/>
    <w:rsid w:val="00453FD8"/>
    <w:rsid w:val="00454DEF"/>
    <w:rsid w:val="00461039"/>
    <w:rsid w:val="0046458C"/>
    <w:rsid w:val="004676B1"/>
    <w:rsid w:val="0047011E"/>
    <w:rsid w:val="0047222A"/>
    <w:rsid w:val="004729CF"/>
    <w:rsid w:val="0048012E"/>
    <w:rsid w:val="0048169E"/>
    <w:rsid w:val="004818B1"/>
    <w:rsid w:val="00485103"/>
    <w:rsid w:val="00485417"/>
    <w:rsid w:val="0048574A"/>
    <w:rsid w:val="00490274"/>
    <w:rsid w:val="00490B1E"/>
    <w:rsid w:val="00492135"/>
    <w:rsid w:val="004950D4"/>
    <w:rsid w:val="004C7373"/>
    <w:rsid w:val="004D3AF4"/>
    <w:rsid w:val="004D3E6C"/>
    <w:rsid w:val="004E3A7D"/>
    <w:rsid w:val="004E6396"/>
    <w:rsid w:val="004F3308"/>
    <w:rsid w:val="004F5C1B"/>
    <w:rsid w:val="00501910"/>
    <w:rsid w:val="00504B5D"/>
    <w:rsid w:val="005121A6"/>
    <w:rsid w:val="00512532"/>
    <w:rsid w:val="005160F6"/>
    <w:rsid w:val="00520408"/>
    <w:rsid w:val="005216F8"/>
    <w:rsid w:val="00525381"/>
    <w:rsid w:val="00525FE2"/>
    <w:rsid w:val="00530713"/>
    <w:rsid w:val="00531FFA"/>
    <w:rsid w:val="00535EF6"/>
    <w:rsid w:val="00536DCA"/>
    <w:rsid w:val="005373C5"/>
    <w:rsid w:val="00541A86"/>
    <w:rsid w:val="00557206"/>
    <w:rsid w:val="00557EF1"/>
    <w:rsid w:val="005606DC"/>
    <w:rsid w:val="0056160A"/>
    <w:rsid w:val="0056262E"/>
    <w:rsid w:val="00564823"/>
    <w:rsid w:val="00566790"/>
    <w:rsid w:val="0057353B"/>
    <w:rsid w:val="00575D1A"/>
    <w:rsid w:val="00577F68"/>
    <w:rsid w:val="005810FF"/>
    <w:rsid w:val="00583107"/>
    <w:rsid w:val="00590B5E"/>
    <w:rsid w:val="00595959"/>
    <w:rsid w:val="00596C29"/>
    <w:rsid w:val="005A243F"/>
    <w:rsid w:val="005A2BB2"/>
    <w:rsid w:val="005A35A4"/>
    <w:rsid w:val="005A431F"/>
    <w:rsid w:val="005A5336"/>
    <w:rsid w:val="005A6659"/>
    <w:rsid w:val="005A6F5A"/>
    <w:rsid w:val="005B44C7"/>
    <w:rsid w:val="005B4E19"/>
    <w:rsid w:val="005B63B4"/>
    <w:rsid w:val="005C56DF"/>
    <w:rsid w:val="005D0DEC"/>
    <w:rsid w:val="005D1E61"/>
    <w:rsid w:val="005E5033"/>
    <w:rsid w:val="005E70FB"/>
    <w:rsid w:val="005F002D"/>
    <w:rsid w:val="005F4FA6"/>
    <w:rsid w:val="005F7569"/>
    <w:rsid w:val="0060457B"/>
    <w:rsid w:val="00607FA8"/>
    <w:rsid w:val="0062497A"/>
    <w:rsid w:val="00624E53"/>
    <w:rsid w:val="00626F15"/>
    <w:rsid w:val="00630B8C"/>
    <w:rsid w:val="00634698"/>
    <w:rsid w:val="00640398"/>
    <w:rsid w:val="00642962"/>
    <w:rsid w:val="00645A60"/>
    <w:rsid w:val="00647766"/>
    <w:rsid w:val="006503E8"/>
    <w:rsid w:val="00650CF3"/>
    <w:rsid w:val="0065578B"/>
    <w:rsid w:val="006579A4"/>
    <w:rsid w:val="00665374"/>
    <w:rsid w:val="00667E04"/>
    <w:rsid w:val="006817C9"/>
    <w:rsid w:val="006879F2"/>
    <w:rsid w:val="00687C45"/>
    <w:rsid w:val="00695EAE"/>
    <w:rsid w:val="00696D28"/>
    <w:rsid w:val="006A4025"/>
    <w:rsid w:val="006A7469"/>
    <w:rsid w:val="006A7A8E"/>
    <w:rsid w:val="006B3066"/>
    <w:rsid w:val="006B4CB9"/>
    <w:rsid w:val="006B61FE"/>
    <w:rsid w:val="006B7536"/>
    <w:rsid w:val="006B7EA6"/>
    <w:rsid w:val="006C1C3F"/>
    <w:rsid w:val="006C3CC5"/>
    <w:rsid w:val="006C66A5"/>
    <w:rsid w:val="006E5542"/>
    <w:rsid w:val="006F163C"/>
    <w:rsid w:val="006F1B41"/>
    <w:rsid w:val="007053DB"/>
    <w:rsid w:val="00706578"/>
    <w:rsid w:val="007073CA"/>
    <w:rsid w:val="00710240"/>
    <w:rsid w:val="00713CB0"/>
    <w:rsid w:val="00715BD2"/>
    <w:rsid w:val="00715DE3"/>
    <w:rsid w:val="007201E7"/>
    <w:rsid w:val="00722D04"/>
    <w:rsid w:val="0073386B"/>
    <w:rsid w:val="007458EB"/>
    <w:rsid w:val="00746B83"/>
    <w:rsid w:val="0075153F"/>
    <w:rsid w:val="00752902"/>
    <w:rsid w:val="00755C1A"/>
    <w:rsid w:val="00765A25"/>
    <w:rsid w:val="007725E2"/>
    <w:rsid w:val="00773E07"/>
    <w:rsid w:val="0078064F"/>
    <w:rsid w:val="007844E8"/>
    <w:rsid w:val="007927E3"/>
    <w:rsid w:val="00794DB3"/>
    <w:rsid w:val="007A3013"/>
    <w:rsid w:val="007A3BD3"/>
    <w:rsid w:val="007A7C28"/>
    <w:rsid w:val="007B6BB1"/>
    <w:rsid w:val="007C153B"/>
    <w:rsid w:val="007C3C91"/>
    <w:rsid w:val="007C6CAE"/>
    <w:rsid w:val="007D1563"/>
    <w:rsid w:val="007D3611"/>
    <w:rsid w:val="007E20FE"/>
    <w:rsid w:val="007E275D"/>
    <w:rsid w:val="007E7650"/>
    <w:rsid w:val="007F43B5"/>
    <w:rsid w:val="007F47D1"/>
    <w:rsid w:val="007F60C1"/>
    <w:rsid w:val="00812291"/>
    <w:rsid w:val="008147B7"/>
    <w:rsid w:val="00817371"/>
    <w:rsid w:val="008208D8"/>
    <w:rsid w:val="00826527"/>
    <w:rsid w:val="0082755E"/>
    <w:rsid w:val="00830A19"/>
    <w:rsid w:val="0084363B"/>
    <w:rsid w:val="008475BE"/>
    <w:rsid w:val="0085319B"/>
    <w:rsid w:val="00855159"/>
    <w:rsid w:val="008552CE"/>
    <w:rsid w:val="008562A8"/>
    <w:rsid w:val="008572A2"/>
    <w:rsid w:val="00863A1B"/>
    <w:rsid w:val="00864609"/>
    <w:rsid w:val="0087398C"/>
    <w:rsid w:val="008802C8"/>
    <w:rsid w:val="00893097"/>
    <w:rsid w:val="008957BF"/>
    <w:rsid w:val="00897660"/>
    <w:rsid w:val="00897FFC"/>
    <w:rsid w:val="008A1C09"/>
    <w:rsid w:val="008A1DC4"/>
    <w:rsid w:val="008A2E76"/>
    <w:rsid w:val="008A4670"/>
    <w:rsid w:val="008A4ED7"/>
    <w:rsid w:val="008B212B"/>
    <w:rsid w:val="008B3FAF"/>
    <w:rsid w:val="008C2F14"/>
    <w:rsid w:val="008C78EB"/>
    <w:rsid w:val="008D0E50"/>
    <w:rsid w:val="008D1B58"/>
    <w:rsid w:val="008D27F8"/>
    <w:rsid w:val="008D29E3"/>
    <w:rsid w:val="008D336A"/>
    <w:rsid w:val="008D3C10"/>
    <w:rsid w:val="008E0A47"/>
    <w:rsid w:val="008E4C87"/>
    <w:rsid w:val="008E5911"/>
    <w:rsid w:val="008E6896"/>
    <w:rsid w:val="008F2F85"/>
    <w:rsid w:val="008F39E1"/>
    <w:rsid w:val="008F580D"/>
    <w:rsid w:val="009034ED"/>
    <w:rsid w:val="00907019"/>
    <w:rsid w:val="00911B4A"/>
    <w:rsid w:val="00912DBA"/>
    <w:rsid w:val="009143BE"/>
    <w:rsid w:val="00917D52"/>
    <w:rsid w:val="009240B5"/>
    <w:rsid w:val="009302B1"/>
    <w:rsid w:val="00931691"/>
    <w:rsid w:val="00946786"/>
    <w:rsid w:val="00960C16"/>
    <w:rsid w:val="00963222"/>
    <w:rsid w:val="00964FCB"/>
    <w:rsid w:val="0096527A"/>
    <w:rsid w:val="0097068B"/>
    <w:rsid w:val="009745DC"/>
    <w:rsid w:val="00981352"/>
    <w:rsid w:val="0098475D"/>
    <w:rsid w:val="00987429"/>
    <w:rsid w:val="0099257C"/>
    <w:rsid w:val="00993425"/>
    <w:rsid w:val="009952AE"/>
    <w:rsid w:val="00995B1D"/>
    <w:rsid w:val="009A1162"/>
    <w:rsid w:val="009A4173"/>
    <w:rsid w:val="009B2BEB"/>
    <w:rsid w:val="009B4621"/>
    <w:rsid w:val="009B58D2"/>
    <w:rsid w:val="009B7C4D"/>
    <w:rsid w:val="009C15B5"/>
    <w:rsid w:val="009C1E07"/>
    <w:rsid w:val="009C2B5C"/>
    <w:rsid w:val="009D09D0"/>
    <w:rsid w:val="009D346B"/>
    <w:rsid w:val="009E355A"/>
    <w:rsid w:val="009F3F7B"/>
    <w:rsid w:val="00A01316"/>
    <w:rsid w:val="00A132B9"/>
    <w:rsid w:val="00A23D3E"/>
    <w:rsid w:val="00A37031"/>
    <w:rsid w:val="00A37084"/>
    <w:rsid w:val="00A41CEF"/>
    <w:rsid w:val="00A4267B"/>
    <w:rsid w:val="00A426C7"/>
    <w:rsid w:val="00A60D89"/>
    <w:rsid w:val="00A64810"/>
    <w:rsid w:val="00A65972"/>
    <w:rsid w:val="00A66F87"/>
    <w:rsid w:val="00A714D7"/>
    <w:rsid w:val="00A71CE8"/>
    <w:rsid w:val="00A71E9C"/>
    <w:rsid w:val="00A90CC4"/>
    <w:rsid w:val="00A95DAD"/>
    <w:rsid w:val="00A96320"/>
    <w:rsid w:val="00A96597"/>
    <w:rsid w:val="00AA3C35"/>
    <w:rsid w:val="00AA74DA"/>
    <w:rsid w:val="00AB5C98"/>
    <w:rsid w:val="00AB644A"/>
    <w:rsid w:val="00AC4875"/>
    <w:rsid w:val="00AC4FB5"/>
    <w:rsid w:val="00AD152A"/>
    <w:rsid w:val="00AD3E7B"/>
    <w:rsid w:val="00AD4CBA"/>
    <w:rsid w:val="00AE1CE2"/>
    <w:rsid w:val="00AE24CF"/>
    <w:rsid w:val="00AE3EC4"/>
    <w:rsid w:val="00AE545A"/>
    <w:rsid w:val="00AF3E60"/>
    <w:rsid w:val="00AF4131"/>
    <w:rsid w:val="00AF45A4"/>
    <w:rsid w:val="00B00667"/>
    <w:rsid w:val="00B027E9"/>
    <w:rsid w:val="00B04920"/>
    <w:rsid w:val="00B07709"/>
    <w:rsid w:val="00B15D29"/>
    <w:rsid w:val="00B205ED"/>
    <w:rsid w:val="00B225BF"/>
    <w:rsid w:val="00B22DE0"/>
    <w:rsid w:val="00B23069"/>
    <w:rsid w:val="00B24841"/>
    <w:rsid w:val="00B2716F"/>
    <w:rsid w:val="00B313EF"/>
    <w:rsid w:val="00B418B6"/>
    <w:rsid w:val="00B439A6"/>
    <w:rsid w:val="00B44BAE"/>
    <w:rsid w:val="00B466A5"/>
    <w:rsid w:val="00B57159"/>
    <w:rsid w:val="00B64DF5"/>
    <w:rsid w:val="00B66239"/>
    <w:rsid w:val="00B8199D"/>
    <w:rsid w:val="00B82AD7"/>
    <w:rsid w:val="00B83418"/>
    <w:rsid w:val="00B90B6B"/>
    <w:rsid w:val="00B92BA1"/>
    <w:rsid w:val="00B93030"/>
    <w:rsid w:val="00B97E4A"/>
    <w:rsid w:val="00BA329F"/>
    <w:rsid w:val="00BB0440"/>
    <w:rsid w:val="00BB1902"/>
    <w:rsid w:val="00BB32B8"/>
    <w:rsid w:val="00BB6B5A"/>
    <w:rsid w:val="00BC04A3"/>
    <w:rsid w:val="00BC0E58"/>
    <w:rsid w:val="00BC12E1"/>
    <w:rsid w:val="00BC30AC"/>
    <w:rsid w:val="00BC38EF"/>
    <w:rsid w:val="00BC4894"/>
    <w:rsid w:val="00BC7A4C"/>
    <w:rsid w:val="00BC7FEB"/>
    <w:rsid w:val="00BE4EF6"/>
    <w:rsid w:val="00BE5907"/>
    <w:rsid w:val="00BF0CB1"/>
    <w:rsid w:val="00BF385C"/>
    <w:rsid w:val="00C0049F"/>
    <w:rsid w:val="00C02DD5"/>
    <w:rsid w:val="00C05CC5"/>
    <w:rsid w:val="00C07DA4"/>
    <w:rsid w:val="00C1438F"/>
    <w:rsid w:val="00C4797E"/>
    <w:rsid w:val="00C544DF"/>
    <w:rsid w:val="00C558E7"/>
    <w:rsid w:val="00C628AA"/>
    <w:rsid w:val="00C64C65"/>
    <w:rsid w:val="00C7118B"/>
    <w:rsid w:val="00C71B28"/>
    <w:rsid w:val="00C730D8"/>
    <w:rsid w:val="00C74A2C"/>
    <w:rsid w:val="00C76E5C"/>
    <w:rsid w:val="00C77BB4"/>
    <w:rsid w:val="00C91272"/>
    <w:rsid w:val="00C919C3"/>
    <w:rsid w:val="00C92951"/>
    <w:rsid w:val="00C97420"/>
    <w:rsid w:val="00CA1C7C"/>
    <w:rsid w:val="00CA2A98"/>
    <w:rsid w:val="00CA34F4"/>
    <w:rsid w:val="00CA503F"/>
    <w:rsid w:val="00CA7272"/>
    <w:rsid w:val="00CB373C"/>
    <w:rsid w:val="00CB3D87"/>
    <w:rsid w:val="00CB4DD0"/>
    <w:rsid w:val="00CB519D"/>
    <w:rsid w:val="00CC11EC"/>
    <w:rsid w:val="00CC5749"/>
    <w:rsid w:val="00CC72A3"/>
    <w:rsid w:val="00CD0831"/>
    <w:rsid w:val="00CE5077"/>
    <w:rsid w:val="00CE6C88"/>
    <w:rsid w:val="00CF4B5E"/>
    <w:rsid w:val="00CF53E9"/>
    <w:rsid w:val="00CF5C60"/>
    <w:rsid w:val="00D05D76"/>
    <w:rsid w:val="00D07C68"/>
    <w:rsid w:val="00D11992"/>
    <w:rsid w:val="00D13455"/>
    <w:rsid w:val="00D213F4"/>
    <w:rsid w:val="00D22B77"/>
    <w:rsid w:val="00D238EF"/>
    <w:rsid w:val="00D32ADA"/>
    <w:rsid w:val="00D33145"/>
    <w:rsid w:val="00D3327C"/>
    <w:rsid w:val="00D35D41"/>
    <w:rsid w:val="00D37CDF"/>
    <w:rsid w:val="00D51FFC"/>
    <w:rsid w:val="00D53FF5"/>
    <w:rsid w:val="00D61E28"/>
    <w:rsid w:val="00D70A3C"/>
    <w:rsid w:val="00D71A5E"/>
    <w:rsid w:val="00D724CE"/>
    <w:rsid w:val="00D7425F"/>
    <w:rsid w:val="00D7733F"/>
    <w:rsid w:val="00D83950"/>
    <w:rsid w:val="00D901E9"/>
    <w:rsid w:val="00D90ACD"/>
    <w:rsid w:val="00DA2863"/>
    <w:rsid w:val="00DA2F46"/>
    <w:rsid w:val="00DB03E9"/>
    <w:rsid w:val="00DB6806"/>
    <w:rsid w:val="00DB723D"/>
    <w:rsid w:val="00DC3160"/>
    <w:rsid w:val="00DC5878"/>
    <w:rsid w:val="00DC5CE3"/>
    <w:rsid w:val="00DD57B5"/>
    <w:rsid w:val="00DF13A7"/>
    <w:rsid w:val="00DF50D1"/>
    <w:rsid w:val="00DF63EF"/>
    <w:rsid w:val="00E00D0F"/>
    <w:rsid w:val="00E01FCC"/>
    <w:rsid w:val="00E03C53"/>
    <w:rsid w:val="00E155F6"/>
    <w:rsid w:val="00E15D42"/>
    <w:rsid w:val="00E176B3"/>
    <w:rsid w:val="00E21067"/>
    <w:rsid w:val="00E22621"/>
    <w:rsid w:val="00E22FEE"/>
    <w:rsid w:val="00E4139F"/>
    <w:rsid w:val="00E43421"/>
    <w:rsid w:val="00E43ADF"/>
    <w:rsid w:val="00E521A3"/>
    <w:rsid w:val="00E5376F"/>
    <w:rsid w:val="00E557B6"/>
    <w:rsid w:val="00E71535"/>
    <w:rsid w:val="00E7297A"/>
    <w:rsid w:val="00E74786"/>
    <w:rsid w:val="00E747BB"/>
    <w:rsid w:val="00E76153"/>
    <w:rsid w:val="00E77C1F"/>
    <w:rsid w:val="00E87D93"/>
    <w:rsid w:val="00E9163A"/>
    <w:rsid w:val="00EA12A7"/>
    <w:rsid w:val="00EB1034"/>
    <w:rsid w:val="00EB35F9"/>
    <w:rsid w:val="00EC4958"/>
    <w:rsid w:val="00EC77B0"/>
    <w:rsid w:val="00ED35DC"/>
    <w:rsid w:val="00EE3F84"/>
    <w:rsid w:val="00EE47AD"/>
    <w:rsid w:val="00EF00D0"/>
    <w:rsid w:val="00EF2EE6"/>
    <w:rsid w:val="00F12312"/>
    <w:rsid w:val="00F126CC"/>
    <w:rsid w:val="00F17B29"/>
    <w:rsid w:val="00F241CB"/>
    <w:rsid w:val="00F2495B"/>
    <w:rsid w:val="00F24DB3"/>
    <w:rsid w:val="00F27535"/>
    <w:rsid w:val="00F44874"/>
    <w:rsid w:val="00F44EB7"/>
    <w:rsid w:val="00F5015A"/>
    <w:rsid w:val="00F624BF"/>
    <w:rsid w:val="00F71C18"/>
    <w:rsid w:val="00F74BD9"/>
    <w:rsid w:val="00F753AE"/>
    <w:rsid w:val="00F83B17"/>
    <w:rsid w:val="00F854BF"/>
    <w:rsid w:val="00F90187"/>
    <w:rsid w:val="00F91208"/>
    <w:rsid w:val="00F91B53"/>
    <w:rsid w:val="00F9613F"/>
    <w:rsid w:val="00FA0B8C"/>
    <w:rsid w:val="00FA7046"/>
    <w:rsid w:val="00FB6545"/>
    <w:rsid w:val="00FC01EA"/>
    <w:rsid w:val="00FC361A"/>
    <w:rsid w:val="00FD185C"/>
    <w:rsid w:val="00FD26EA"/>
    <w:rsid w:val="00FF696E"/>
    <w:rsid w:val="00FF7A2C"/>
    <w:rsid w:val="0112600F"/>
    <w:rsid w:val="01223280"/>
    <w:rsid w:val="01275791"/>
    <w:rsid w:val="0129420A"/>
    <w:rsid w:val="014F4C97"/>
    <w:rsid w:val="01510AAD"/>
    <w:rsid w:val="01901B2C"/>
    <w:rsid w:val="01B55B1F"/>
    <w:rsid w:val="02AA470F"/>
    <w:rsid w:val="02D94D59"/>
    <w:rsid w:val="03FE305E"/>
    <w:rsid w:val="041D0E4B"/>
    <w:rsid w:val="049154C2"/>
    <w:rsid w:val="04E13A54"/>
    <w:rsid w:val="04F61DC6"/>
    <w:rsid w:val="06373019"/>
    <w:rsid w:val="0709512C"/>
    <w:rsid w:val="071D5C55"/>
    <w:rsid w:val="071E6448"/>
    <w:rsid w:val="075A7AEE"/>
    <w:rsid w:val="07835231"/>
    <w:rsid w:val="07B241A1"/>
    <w:rsid w:val="080A3B93"/>
    <w:rsid w:val="08FD4AA6"/>
    <w:rsid w:val="0913099F"/>
    <w:rsid w:val="09C56F64"/>
    <w:rsid w:val="09CD7BA3"/>
    <w:rsid w:val="0A405DF6"/>
    <w:rsid w:val="0ACA1F59"/>
    <w:rsid w:val="0AF55728"/>
    <w:rsid w:val="0B1F39E7"/>
    <w:rsid w:val="0B296F0D"/>
    <w:rsid w:val="0B8553DC"/>
    <w:rsid w:val="0BA5783B"/>
    <w:rsid w:val="0BD23924"/>
    <w:rsid w:val="0BF374B9"/>
    <w:rsid w:val="0C2F06D8"/>
    <w:rsid w:val="0CF528F0"/>
    <w:rsid w:val="0D4813F0"/>
    <w:rsid w:val="0D4D5685"/>
    <w:rsid w:val="0D4F081E"/>
    <w:rsid w:val="0D914AFC"/>
    <w:rsid w:val="0E3614AB"/>
    <w:rsid w:val="0E871F3E"/>
    <w:rsid w:val="0EBC3394"/>
    <w:rsid w:val="0ECF7E73"/>
    <w:rsid w:val="0F2736CC"/>
    <w:rsid w:val="0F3812A5"/>
    <w:rsid w:val="0F4001E0"/>
    <w:rsid w:val="103B1805"/>
    <w:rsid w:val="10E965D0"/>
    <w:rsid w:val="11504F43"/>
    <w:rsid w:val="11DB3439"/>
    <w:rsid w:val="12611DE3"/>
    <w:rsid w:val="129A7FB7"/>
    <w:rsid w:val="12EC2E27"/>
    <w:rsid w:val="139F7E4B"/>
    <w:rsid w:val="149E2DFF"/>
    <w:rsid w:val="14DB64A2"/>
    <w:rsid w:val="150375E3"/>
    <w:rsid w:val="155C3306"/>
    <w:rsid w:val="155C7923"/>
    <w:rsid w:val="16215E10"/>
    <w:rsid w:val="1672558E"/>
    <w:rsid w:val="16CF3266"/>
    <w:rsid w:val="16E956BE"/>
    <w:rsid w:val="1729786F"/>
    <w:rsid w:val="174D4F79"/>
    <w:rsid w:val="174D6190"/>
    <w:rsid w:val="176101D9"/>
    <w:rsid w:val="177A73AC"/>
    <w:rsid w:val="177C583D"/>
    <w:rsid w:val="17AD2AE0"/>
    <w:rsid w:val="17B72C13"/>
    <w:rsid w:val="1810004F"/>
    <w:rsid w:val="18664041"/>
    <w:rsid w:val="190A2058"/>
    <w:rsid w:val="192D78EC"/>
    <w:rsid w:val="196E30B9"/>
    <w:rsid w:val="1AAC149F"/>
    <w:rsid w:val="1B652E0A"/>
    <w:rsid w:val="1B6D3ED5"/>
    <w:rsid w:val="1BA9739F"/>
    <w:rsid w:val="1C114C67"/>
    <w:rsid w:val="1C4E3B21"/>
    <w:rsid w:val="1C8D0A6C"/>
    <w:rsid w:val="1D6A46BF"/>
    <w:rsid w:val="1D864E7F"/>
    <w:rsid w:val="1DE55225"/>
    <w:rsid w:val="1E877959"/>
    <w:rsid w:val="1F7C5FB0"/>
    <w:rsid w:val="1FA70BC4"/>
    <w:rsid w:val="1FBF21F8"/>
    <w:rsid w:val="20A639B7"/>
    <w:rsid w:val="20D06447"/>
    <w:rsid w:val="20F117A4"/>
    <w:rsid w:val="219B2D30"/>
    <w:rsid w:val="21B576FA"/>
    <w:rsid w:val="220A026D"/>
    <w:rsid w:val="22564ABF"/>
    <w:rsid w:val="227C4964"/>
    <w:rsid w:val="22A7040C"/>
    <w:rsid w:val="22E27355"/>
    <w:rsid w:val="23264EAC"/>
    <w:rsid w:val="236312AF"/>
    <w:rsid w:val="23D4299E"/>
    <w:rsid w:val="247160F7"/>
    <w:rsid w:val="248F6F18"/>
    <w:rsid w:val="249629BA"/>
    <w:rsid w:val="26056329"/>
    <w:rsid w:val="266F134B"/>
    <w:rsid w:val="272B53FA"/>
    <w:rsid w:val="27593468"/>
    <w:rsid w:val="27962DDC"/>
    <w:rsid w:val="27A40585"/>
    <w:rsid w:val="281B5E04"/>
    <w:rsid w:val="288C1DA5"/>
    <w:rsid w:val="28957098"/>
    <w:rsid w:val="28B90404"/>
    <w:rsid w:val="28F37565"/>
    <w:rsid w:val="28FD6D56"/>
    <w:rsid w:val="29F84603"/>
    <w:rsid w:val="2ADB6C5B"/>
    <w:rsid w:val="2B4A3D06"/>
    <w:rsid w:val="2B6031A2"/>
    <w:rsid w:val="2B7D1CB2"/>
    <w:rsid w:val="2B8B6577"/>
    <w:rsid w:val="2B903AA0"/>
    <w:rsid w:val="2BA232E4"/>
    <w:rsid w:val="2BB8032B"/>
    <w:rsid w:val="2D02648C"/>
    <w:rsid w:val="2D133350"/>
    <w:rsid w:val="2D776588"/>
    <w:rsid w:val="2DCF2D08"/>
    <w:rsid w:val="2DF27631"/>
    <w:rsid w:val="2E0C40F4"/>
    <w:rsid w:val="2E586527"/>
    <w:rsid w:val="2E5B04E6"/>
    <w:rsid w:val="2E813319"/>
    <w:rsid w:val="2F2A5806"/>
    <w:rsid w:val="302E0585"/>
    <w:rsid w:val="3173734A"/>
    <w:rsid w:val="31C63AD6"/>
    <w:rsid w:val="328254B9"/>
    <w:rsid w:val="3366392A"/>
    <w:rsid w:val="336D0CB2"/>
    <w:rsid w:val="33916D73"/>
    <w:rsid w:val="33AC4A70"/>
    <w:rsid w:val="33D271AE"/>
    <w:rsid w:val="34177C17"/>
    <w:rsid w:val="34455FA4"/>
    <w:rsid w:val="34961995"/>
    <w:rsid w:val="35224BB2"/>
    <w:rsid w:val="35A72764"/>
    <w:rsid w:val="35E72CAD"/>
    <w:rsid w:val="35EC7252"/>
    <w:rsid w:val="35FC35AF"/>
    <w:rsid w:val="365B18E8"/>
    <w:rsid w:val="367B7EF0"/>
    <w:rsid w:val="368F5986"/>
    <w:rsid w:val="36FE5760"/>
    <w:rsid w:val="383E6F15"/>
    <w:rsid w:val="38BC7DAD"/>
    <w:rsid w:val="38C330C4"/>
    <w:rsid w:val="38F97424"/>
    <w:rsid w:val="390F126A"/>
    <w:rsid w:val="393804CC"/>
    <w:rsid w:val="393C4673"/>
    <w:rsid w:val="39D23390"/>
    <w:rsid w:val="3A015A23"/>
    <w:rsid w:val="3ABD6D87"/>
    <w:rsid w:val="3AC81B49"/>
    <w:rsid w:val="3B0B55A0"/>
    <w:rsid w:val="3B38659D"/>
    <w:rsid w:val="3B751386"/>
    <w:rsid w:val="3BA34FB1"/>
    <w:rsid w:val="3BA36802"/>
    <w:rsid w:val="3C8B7C30"/>
    <w:rsid w:val="3CC21672"/>
    <w:rsid w:val="3D0079D5"/>
    <w:rsid w:val="3D3B57CE"/>
    <w:rsid w:val="3D9A0D73"/>
    <w:rsid w:val="3EA6493C"/>
    <w:rsid w:val="3ED12FEA"/>
    <w:rsid w:val="3F216795"/>
    <w:rsid w:val="3F597147"/>
    <w:rsid w:val="3FD66932"/>
    <w:rsid w:val="40585167"/>
    <w:rsid w:val="40FF0013"/>
    <w:rsid w:val="41A25FB7"/>
    <w:rsid w:val="420B077B"/>
    <w:rsid w:val="42712944"/>
    <w:rsid w:val="42845815"/>
    <w:rsid w:val="439B6A75"/>
    <w:rsid w:val="43A355F7"/>
    <w:rsid w:val="43DD112E"/>
    <w:rsid w:val="4406042E"/>
    <w:rsid w:val="44346259"/>
    <w:rsid w:val="444C4701"/>
    <w:rsid w:val="444E5D09"/>
    <w:rsid w:val="444E7511"/>
    <w:rsid w:val="449830A7"/>
    <w:rsid w:val="44D51493"/>
    <w:rsid w:val="44D64E20"/>
    <w:rsid w:val="45B67A16"/>
    <w:rsid w:val="467F296F"/>
    <w:rsid w:val="471A301D"/>
    <w:rsid w:val="47B2669D"/>
    <w:rsid w:val="47D71D3D"/>
    <w:rsid w:val="48250FF0"/>
    <w:rsid w:val="482C3A4C"/>
    <w:rsid w:val="48BC0A71"/>
    <w:rsid w:val="48D03190"/>
    <w:rsid w:val="48FC222A"/>
    <w:rsid w:val="498A3C01"/>
    <w:rsid w:val="4998206D"/>
    <w:rsid w:val="4B5A1D6F"/>
    <w:rsid w:val="4B5E5CC7"/>
    <w:rsid w:val="4BB40F17"/>
    <w:rsid w:val="4C2565D5"/>
    <w:rsid w:val="4C326698"/>
    <w:rsid w:val="4C513C86"/>
    <w:rsid w:val="4C7A631E"/>
    <w:rsid w:val="4CF22D92"/>
    <w:rsid w:val="4D113B98"/>
    <w:rsid w:val="4D51511B"/>
    <w:rsid w:val="4D575350"/>
    <w:rsid w:val="4D5D256A"/>
    <w:rsid w:val="4DA8560E"/>
    <w:rsid w:val="4DD229A6"/>
    <w:rsid w:val="4DE0143F"/>
    <w:rsid w:val="4E6D4AFD"/>
    <w:rsid w:val="4E897F57"/>
    <w:rsid w:val="4F9A4771"/>
    <w:rsid w:val="4FE734B6"/>
    <w:rsid w:val="4FF12E6F"/>
    <w:rsid w:val="4FFD176E"/>
    <w:rsid w:val="504004B0"/>
    <w:rsid w:val="50455DEE"/>
    <w:rsid w:val="50955FB3"/>
    <w:rsid w:val="509A692B"/>
    <w:rsid w:val="50A81416"/>
    <w:rsid w:val="51F77A7E"/>
    <w:rsid w:val="526E365E"/>
    <w:rsid w:val="529129BD"/>
    <w:rsid w:val="52BF1F69"/>
    <w:rsid w:val="531E60E6"/>
    <w:rsid w:val="532A5A2D"/>
    <w:rsid w:val="53943ED1"/>
    <w:rsid w:val="53EB43C5"/>
    <w:rsid w:val="54106811"/>
    <w:rsid w:val="54271C4B"/>
    <w:rsid w:val="543C6637"/>
    <w:rsid w:val="54596483"/>
    <w:rsid w:val="545F697D"/>
    <w:rsid w:val="54881C82"/>
    <w:rsid w:val="5589321C"/>
    <w:rsid w:val="558A12A0"/>
    <w:rsid w:val="559A31D9"/>
    <w:rsid w:val="565C42B5"/>
    <w:rsid w:val="56E26086"/>
    <w:rsid w:val="572B63D5"/>
    <w:rsid w:val="57511940"/>
    <w:rsid w:val="576861E8"/>
    <w:rsid w:val="57BC4275"/>
    <w:rsid w:val="585557E9"/>
    <w:rsid w:val="58583523"/>
    <w:rsid w:val="58C5363A"/>
    <w:rsid w:val="596778E7"/>
    <w:rsid w:val="5AB9026D"/>
    <w:rsid w:val="5B1C5C22"/>
    <w:rsid w:val="5B373B79"/>
    <w:rsid w:val="5C303FA0"/>
    <w:rsid w:val="5C363962"/>
    <w:rsid w:val="5CCF29D6"/>
    <w:rsid w:val="5D3E1060"/>
    <w:rsid w:val="5D3F0695"/>
    <w:rsid w:val="5DA324A7"/>
    <w:rsid w:val="5DCB5D9D"/>
    <w:rsid w:val="5DD2116D"/>
    <w:rsid w:val="5DD643C7"/>
    <w:rsid w:val="5E39762D"/>
    <w:rsid w:val="5E567809"/>
    <w:rsid w:val="5E880DE0"/>
    <w:rsid w:val="5F295E83"/>
    <w:rsid w:val="5F8E39F6"/>
    <w:rsid w:val="5FA426D2"/>
    <w:rsid w:val="60133283"/>
    <w:rsid w:val="6054553F"/>
    <w:rsid w:val="607C0138"/>
    <w:rsid w:val="61637B34"/>
    <w:rsid w:val="61F762EB"/>
    <w:rsid w:val="623059D6"/>
    <w:rsid w:val="62974A35"/>
    <w:rsid w:val="62C2340E"/>
    <w:rsid w:val="62DA032A"/>
    <w:rsid w:val="63A32A9C"/>
    <w:rsid w:val="6455713C"/>
    <w:rsid w:val="64832A2C"/>
    <w:rsid w:val="64A777E3"/>
    <w:rsid w:val="64C7521B"/>
    <w:rsid w:val="65974BAC"/>
    <w:rsid w:val="65DD6A95"/>
    <w:rsid w:val="663C1CF4"/>
    <w:rsid w:val="66400098"/>
    <w:rsid w:val="66524910"/>
    <w:rsid w:val="6695686A"/>
    <w:rsid w:val="66F7259D"/>
    <w:rsid w:val="67384EB9"/>
    <w:rsid w:val="674A7789"/>
    <w:rsid w:val="67E31D13"/>
    <w:rsid w:val="68F073E1"/>
    <w:rsid w:val="69444B15"/>
    <w:rsid w:val="694F6A20"/>
    <w:rsid w:val="69A16395"/>
    <w:rsid w:val="69B1330B"/>
    <w:rsid w:val="69B13BDC"/>
    <w:rsid w:val="6A0A252B"/>
    <w:rsid w:val="6A6A0894"/>
    <w:rsid w:val="6AA713FC"/>
    <w:rsid w:val="6B104663"/>
    <w:rsid w:val="6B3C64B6"/>
    <w:rsid w:val="6B3D7E15"/>
    <w:rsid w:val="6B9B6D53"/>
    <w:rsid w:val="6BA15E60"/>
    <w:rsid w:val="6BD842E1"/>
    <w:rsid w:val="6C024433"/>
    <w:rsid w:val="6C2A55DA"/>
    <w:rsid w:val="6CA61933"/>
    <w:rsid w:val="6CA87E6A"/>
    <w:rsid w:val="6CC234A4"/>
    <w:rsid w:val="6D2C5568"/>
    <w:rsid w:val="6D3C6B9F"/>
    <w:rsid w:val="6D69623D"/>
    <w:rsid w:val="6D832444"/>
    <w:rsid w:val="6DCF731A"/>
    <w:rsid w:val="6E102FB3"/>
    <w:rsid w:val="6E10658A"/>
    <w:rsid w:val="6E38600F"/>
    <w:rsid w:val="6EF02693"/>
    <w:rsid w:val="6F547BC3"/>
    <w:rsid w:val="6FA07EA9"/>
    <w:rsid w:val="6FA478F1"/>
    <w:rsid w:val="6FAD18D5"/>
    <w:rsid w:val="6FDD4790"/>
    <w:rsid w:val="6FE3088A"/>
    <w:rsid w:val="700A2B97"/>
    <w:rsid w:val="70274E35"/>
    <w:rsid w:val="70B36C5E"/>
    <w:rsid w:val="718172E9"/>
    <w:rsid w:val="718D4408"/>
    <w:rsid w:val="71995654"/>
    <w:rsid w:val="725B419D"/>
    <w:rsid w:val="734F7603"/>
    <w:rsid w:val="738C278F"/>
    <w:rsid w:val="73F406D2"/>
    <w:rsid w:val="74144E1D"/>
    <w:rsid w:val="745902DD"/>
    <w:rsid w:val="748D6E80"/>
    <w:rsid w:val="74983D0F"/>
    <w:rsid w:val="74D62592"/>
    <w:rsid w:val="74EF3C38"/>
    <w:rsid w:val="7518765A"/>
    <w:rsid w:val="75412F21"/>
    <w:rsid w:val="757B0629"/>
    <w:rsid w:val="76074E0A"/>
    <w:rsid w:val="760A2F81"/>
    <w:rsid w:val="765406AD"/>
    <w:rsid w:val="76BF3BD0"/>
    <w:rsid w:val="771C22E3"/>
    <w:rsid w:val="77340DE3"/>
    <w:rsid w:val="77506CF7"/>
    <w:rsid w:val="778F3621"/>
    <w:rsid w:val="77C332FC"/>
    <w:rsid w:val="77E8710A"/>
    <w:rsid w:val="78563358"/>
    <w:rsid w:val="78B7761A"/>
    <w:rsid w:val="79067040"/>
    <w:rsid w:val="791D02E2"/>
    <w:rsid w:val="79703C9F"/>
    <w:rsid w:val="79AF40F2"/>
    <w:rsid w:val="79CB5727"/>
    <w:rsid w:val="7A1C47B8"/>
    <w:rsid w:val="7A355C6F"/>
    <w:rsid w:val="7A861958"/>
    <w:rsid w:val="7AA94ED2"/>
    <w:rsid w:val="7B2948DA"/>
    <w:rsid w:val="7BB178B1"/>
    <w:rsid w:val="7BFF0819"/>
    <w:rsid w:val="7C00791C"/>
    <w:rsid w:val="7C0F3A3E"/>
    <w:rsid w:val="7C3E035B"/>
    <w:rsid w:val="7C76576B"/>
    <w:rsid w:val="7CA27DEB"/>
    <w:rsid w:val="7CB07761"/>
    <w:rsid w:val="7D1878D6"/>
    <w:rsid w:val="7D1941AA"/>
    <w:rsid w:val="7D3C5597"/>
    <w:rsid w:val="7D45299D"/>
    <w:rsid w:val="7D743C79"/>
    <w:rsid w:val="7DD751FA"/>
    <w:rsid w:val="7F19696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0" w:name="heading 3"/>
    <w:lsdException w:qFormat="1" w:uiPriority="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iPriority="39" w:semiHidden="0" w:name="toc 1"/>
    <w:lsdException w:qFormat="1" w:uiPriority="39" w:semiHidden="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iPriority="99"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qFormat="1"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uiPriority="0" w:name="FollowedHyperlink"/>
    <w:lsdException w:qFormat="1" w:unhideWhenUsed="0" w:uiPriority="22"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spacing w:after="200"/>
    </w:pPr>
    <w:rPr>
      <w:rFonts w:ascii="Tahoma" w:hAnsi="Tahoma" w:eastAsia="微软雅黑" w:cs="Times New Roman"/>
      <w:sz w:val="22"/>
      <w:szCs w:val="22"/>
      <w:lang w:val="en-US" w:eastAsia="zh-CN" w:bidi="ar-SA"/>
    </w:rPr>
  </w:style>
  <w:style w:type="paragraph" w:styleId="4">
    <w:name w:val="heading 1"/>
    <w:basedOn w:val="1"/>
    <w:next w:val="1"/>
    <w:qFormat/>
    <w:uiPriority w:val="9"/>
    <w:pPr>
      <w:keepNext/>
      <w:keepLines/>
      <w:spacing w:before="340" w:after="330" w:line="576" w:lineRule="auto"/>
      <w:outlineLvl w:val="0"/>
    </w:pPr>
    <w:rPr>
      <w:b/>
      <w:kern w:val="44"/>
      <w:sz w:val="44"/>
    </w:rPr>
  </w:style>
  <w:style w:type="paragraph" w:styleId="5">
    <w:name w:val="heading 2"/>
    <w:basedOn w:val="1"/>
    <w:next w:val="1"/>
    <w:qFormat/>
    <w:uiPriority w:val="9"/>
    <w:pPr>
      <w:keepNext/>
      <w:keepLines/>
      <w:spacing w:before="260" w:after="260" w:line="413" w:lineRule="auto"/>
      <w:outlineLvl w:val="1"/>
    </w:pPr>
    <w:rPr>
      <w:rFonts w:ascii="Arial" w:hAnsi="Arial" w:eastAsia="黑体"/>
      <w:b/>
      <w:sz w:val="32"/>
    </w:rPr>
  </w:style>
  <w:style w:type="paragraph" w:styleId="6">
    <w:name w:val="heading 3"/>
    <w:basedOn w:val="1"/>
    <w:next w:val="1"/>
    <w:link w:val="27"/>
    <w:semiHidden/>
    <w:unhideWhenUsed/>
    <w:qFormat/>
    <w:uiPriority w:val="0"/>
    <w:pPr>
      <w:keepNext/>
      <w:keepLines/>
      <w:spacing w:before="260" w:after="260" w:line="416" w:lineRule="auto"/>
      <w:outlineLvl w:val="2"/>
    </w:pPr>
    <w:rPr>
      <w:b/>
      <w:bCs/>
      <w:sz w:val="32"/>
      <w:szCs w:val="32"/>
    </w:rPr>
  </w:style>
  <w:style w:type="paragraph" w:styleId="7">
    <w:name w:val="heading 4"/>
    <w:basedOn w:val="1"/>
    <w:next w:val="1"/>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16">
    <w:name w:val="Default Paragraph Font"/>
    <w:semiHidden/>
    <w:unhideWhenUsed/>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qFormat/>
    <w:uiPriority w:val="0"/>
    <w:pPr>
      <w:widowControl w:val="0"/>
      <w:spacing w:line="500" w:lineRule="exact"/>
      <w:ind w:firstLine="420"/>
      <w:jc w:val="both"/>
    </w:pPr>
    <w:rPr>
      <w:rFonts w:ascii="Calibri" w:hAnsi="Calibri" w:eastAsia="楷体_GB2312"/>
      <w:kern w:val="2"/>
      <w:sz w:val="28"/>
    </w:rPr>
  </w:style>
  <w:style w:type="paragraph" w:styleId="3">
    <w:name w:val="Body Text"/>
    <w:basedOn w:val="1"/>
    <w:semiHidden/>
    <w:unhideWhenUsed/>
    <w:qFormat/>
    <w:uiPriority w:val="99"/>
    <w:pPr>
      <w:spacing w:after="120"/>
    </w:pPr>
  </w:style>
  <w:style w:type="paragraph" w:styleId="8">
    <w:name w:val="annotation text"/>
    <w:basedOn w:val="1"/>
    <w:link w:val="23"/>
    <w:qFormat/>
    <w:uiPriority w:val="0"/>
  </w:style>
  <w:style w:type="paragraph" w:styleId="9">
    <w:name w:val="Balloon Text"/>
    <w:basedOn w:val="1"/>
    <w:link w:val="25"/>
    <w:qFormat/>
    <w:uiPriority w:val="0"/>
    <w:pPr>
      <w:spacing w:after="0"/>
    </w:pPr>
    <w:rPr>
      <w:sz w:val="18"/>
      <w:szCs w:val="18"/>
    </w:rPr>
  </w:style>
  <w:style w:type="paragraph" w:styleId="10">
    <w:name w:val="footer"/>
    <w:basedOn w:val="1"/>
    <w:link w:val="26"/>
    <w:qFormat/>
    <w:uiPriority w:val="99"/>
    <w:pPr>
      <w:tabs>
        <w:tab w:val="center" w:pos="4153"/>
        <w:tab w:val="right" w:pos="8306"/>
      </w:tabs>
    </w:pPr>
    <w:rPr>
      <w:sz w:val="18"/>
    </w:rPr>
  </w:style>
  <w:style w:type="paragraph" w:styleId="11">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jc w:val="both"/>
    </w:pPr>
    <w:rPr>
      <w:sz w:val="18"/>
    </w:rPr>
  </w:style>
  <w:style w:type="paragraph" w:styleId="12">
    <w:name w:val="toc 1"/>
    <w:basedOn w:val="1"/>
    <w:next w:val="1"/>
    <w:unhideWhenUsed/>
    <w:qFormat/>
    <w:uiPriority w:val="39"/>
  </w:style>
  <w:style w:type="paragraph" w:styleId="13">
    <w:name w:val="toc 2"/>
    <w:basedOn w:val="1"/>
    <w:next w:val="1"/>
    <w:unhideWhenUsed/>
    <w:qFormat/>
    <w:uiPriority w:val="39"/>
    <w:pPr>
      <w:ind w:left="420" w:leftChars="200"/>
    </w:pPr>
  </w:style>
  <w:style w:type="paragraph" w:styleId="14">
    <w:name w:val="annotation subject"/>
    <w:basedOn w:val="8"/>
    <w:next w:val="8"/>
    <w:link w:val="24"/>
    <w:semiHidden/>
    <w:unhideWhenUsed/>
    <w:qFormat/>
    <w:uiPriority w:val="0"/>
    <w:rPr>
      <w:b/>
      <w:bCs/>
    </w:rPr>
  </w:style>
  <w:style w:type="character" w:styleId="17">
    <w:name w:val="Strong"/>
    <w:basedOn w:val="16"/>
    <w:qFormat/>
    <w:uiPriority w:val="22"/>
    <w:rPr>
      <w:b/>
      <w:bCs/>
    </w:rPr>
  </w:style>
  <w:style w:type="character" w:styleId="18">
    <w:name w:val="Hyperlink"/>
    <w:basedOn w:val="16"/>
    <w:unhideWhenUsed/>
    <w:qFormat/>
    <w:uiPriority w:val="99"/>
    <w:rPr>
      <w:color w:val="0563C1" w:themeColor="hyperlink"/>
      <w:u w:val="single"/>
    </w:rPr>
  </w:style>
  <w:style w:type="character" w:styleId="19">
    <w:name w:val="annotation reference"/>
    <w:qFormat/>
    <w:uiPriority w:val="0"/>
    <w:rPr>
      <w:sz w:val="21"/>
      <w:szCs w:val="21"/>
    </w:rPr>
  </w:style>
  <w:style w:type="character" w:customStyle="1" w:styleId="20">
    <w:name w:val="标题 3 字符"/>
    <w:qFormat/>
    <w:uiPriority w:val="9"/>
    <w:rPr>
      <w:b/>
      <w:sz w:val="32"/>
    </w:rPr>
  </w:style>
  <w:style w:type="paragraph" w:customStyle="1" w:styleId="21">
    <w:name w:val="WPSOffice手动目录 1"/>
    <w:qFormat/>
    <w:uiPriority w:val="0"/>
    <w:rPr>
      <w:rFonts w:ascii="Calibri" w:hAnsi="Calibri" w:eastAsia="微软雅黑" w:cs="Times New Roman"/>
      <w:lang w:val="en-US" w:eastAsia="zh-CN" w:bidi="ar-SA"/>
    </w:rPr>
  </w:style>
  <w:style w:type="paragraph" w:customStyle="1" w:styleId="22">
    <w:name w:val="WPSOffice手动目录 2"/>
    <w:qFormat/>
    <w:uiPriority w:val="0"/>
    <w:pPr>
      <w:ind w:left="200" w:leftChars="200"/>
    </w:pPr>
    <w:rPr>
      <w:rFonts w:ascii="Calibri" w:hAnsi="Calibri" w:eastAsia="微软雅黑" w:cs="Times New Roman"/>
      <w:lang w:val="en-US" w:eastAsia="zh-CN" w:bidi="ar-SA"/>
    </w:rPr>
  </w:style>
  <w:style w:type="character" w:customStyle="1" w:styleId="23">
    <w:name w:val="批注文字 Char"/>
    <w:basedOn w:val="16"/>
    <w:link w:val="8"/>
    <w:qFormat/>
    <w:uiPriority w:val="0"/>
    <w:rPr>
      <w:rFonts w:ascii="Tahoma" w:hAnsi="Tahoma"/>
      <w:sz w:val="22"/>
      <w:szCs w:val="22"/>
    </w:rPr>
  </w:style>
  <w:style w:type="character" w:customStyle="1" w:styleId="24">
    <w:name w:val="批注主题 Char"/>
    <w:basedOn w:val="23"/>
    <w:link w:val="14"/>
    <w:semiHidden/>
    <w:qFormat/>
    <w:uiPriority w:val="0"/>
    <w:rPr>
      <w:rFonts w:ascii="Tahoma" w:hAnsi="Tahoma"/>
      <w:b/>
      <w:bCs/>
      <w:sz w:val="22"/>
      <w:szCs w:val="22"/>
    </w:rPr>
  </w:style>
  <w:style w:type="character" w:customStyle="1" w:styleId="25">
    <w:name w:val="批注框文本 Char"/>
    <w:basedOn w:val="16"/>
    <w:link w:val="9"/>
    <w:qFormat/>
    <w:uiPriority w:val="0"/>
    <w:rPr>
      <w:rFonts w:ascii="Tahoma" w:hAnsi="Tahoma"/>
      <w:sz w:val="18"/>
      <w:szCs w:val="18"/>
    </w:rPr>
  </w:style>
  <w:style w:type="character" w:customStyle="1" w:styleId="26">
    <w:name w:val="页脚 Char"/>
    <w:basedOn w:val="16"/>
    <w:link w:val="10"/>
    <w:qFormat/>
    <w:uiPriority w:val="99"/>
    <w:rPr>
      <w:rFonts w:ascii="Tahoma" w:hAnsi="Tahoma"/>
      <w:sz w:val="18"/>
      <w:szCs w:val="22"/>
    </w:rPr>
  </w:style>
  <w:style w:type="character" w:customStyle="1" w:styleId="27">
    <w:name w:val="标题 3 Char"/>
    <w:basedOn w:val="16"/>
    <w:link w:val="6"/>
    <w:qFormat/>
    <w:uiPriority w:val="9"/>
    <w:rPr>
      <w:b/>
      <w:bCs/>
      <w:sz w:val="32"/>
      <w:szCs w:val="32"/>
    </w:rPr>
  </w:style>
  <w:style w:type="character" w:customStyle="1" w:styleId="28">
    <w:name w:val="font01"/>
    <w:basedOn w:val="16"/>
    <w:qFormat/>
    <w:uiPriority w:val="0"/>
    <w:rPr>
      <w:rFonts w:hint="default" w:ascii="Times New Roman" w:hAnsi="Times New Roman" w:cs="Times New Roman"/>
      <w:b/>
      <w:bCs/>
      <w:color w:val="000000"/>
      <w:sz w:val="24"/>
      <w:szCs w:val="24"/>
      <w:u w:val="none"/>
    </w:rPr>
  </w:style>
  <w:style w:type="character" w:customStyle="1" w:styleId="29">
    <w:name w:val="font31"/>
    <w:basedOn w:val="16"/>
    <w:qFormat/>
    <w:uiPriority w:val="0"/>
    <w:rPr>
      <w:rFonts w:hint="eastAsia" w:ascii="黑体" w:hAnsi="宋体" w:eastAsia="黑体" w:cs="黑体"/>
      <w:b/>
      <w:bCs/>
      <w:color w:val="000000"/>
      <w:sz w:val="24"/>
      <w:szCs w:val="24"/>
      <w:u w:val="none"/>
    </w:rPr>
  </w:style>
  <w:style w:type="character" w:customStyle="1" w:styleId="30">
    <w:name w:val="font61"/>
    <w:basedOn w:val="16"/>
    <w:qFormat/>
    <w:uiPriority w:val="0"/>
    <w:rPr>
      <w:rFonts w:hint="default" w:ascii="Times New Roman" w:hAnsi="Times New Roman" w:cs="Times New Roman"/>
      <w:color w:val="000000"/>
      <w:sz w:val="22"/>
      <w:szCs w:val="22"/>
      <w:u w:val="none"/>
    </w:rPr>
  </w:style>
  <w:style w:type="character" w:customStyle="1" w:styleId="31">
    <w:name w:val="font71"/>
    <w:basedOn w:val="16"/>
    <w:qFormat/>
    <w:uiPriority w:val="0"/>
    <w:rPr>
      <w:rFonts w:hint="eastAsia" w:ascii="宋体" w:hAnsi="宋体" w:eastAsia="宋体" w:cs="宋体"/>
      <w:color w:val="000000"/>
      <w:sz w:val="22"/>
      <w:szCs w:val="22"/>
      <w:u w:val="none"/>
    </w:rPr>
  </w:style>
  <w:style w:type="character" w:customStyle="1" w:styleId="32">
    <w:name w:val="font181"/>
    <w:basedOn w:val="16"/>
    <w:qFormat/>
    <w:uiPriority w:val="0"/>
    <w:rPr>
      <w:rFonts w:hint="default" w:ascii="Times New Roman" w:hAnsi="Times New Roman" w:cs="Times New Roman"/>
      <w:color w:val="000000"/>
      <w:sz w:val="22"/>
      <w:szCs w:val="22"/>
      <w:u w:val="none"/>
    </w:rPr>
  </w:style>
  <w:style w:type="character" w:customStyle="1" w:styleId="33">
    <w:name w:val="font141"/>
    <w:basedOn w:val="16"/>
    <w:qFormat/>
    <w:uiPriority w:val="0"/>
    <w:rPr>
      <w:rFonts w:hint="eastAsia" w:ascii="宋体" w:hAnsi="宋体" w:eastAsia="宋体" w:cs="宋体"/>
      <w:color w:val="000000"/>
      <w:sz w:val="22"/>
      <w:szCs w:val="22"/>
      <w:u w:val="none"/>
    </w:rPr>
  </w:style>
  <w:style w:type="character" w:customStyle="1" w:styleId="34">
    <w:name w:val="font151"/>
    <w:basedOn w:val="16"/>
    <w:qFormat/>
    <w:uiPriority w:val="0"/>
    <w:rPr>
      <w:rFonts w:hint="default" w:ascii="Times New Roman" w:hAnsi="Times New Roman" w:cs="Times New Roman"/>
      <w:b/>
      <w:bCs/>
      <w:color w:val="000000"/>
      <w:sz w:val="24"/>
      <w:szCs w:val="24"/>
      <w:u w:val="none"/>
    </w:rPr>
  </w:style>
  <w:style w:type="character" w:customStyle="1" w:styleId="35">
    <w:name w:val="font101"/>
    <w:basedOn w:val="16"/>
    <w:qFormat/>
    <w:uiPriority w:val="0"/>
    <w:rPr>
      <w:rFonts w:hint="eastAsia" w:ascii="宋体" w:hAnsi="宋体" w:eastAsia="宋体" w:cs="宋体"/>
      <w:color w:val="000000"/>
      <w:sz w:val="21"/>
      <w:szCs w:val="21"/>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4" Type="http://schemas.microsoft.com/office/2011/relationships/people" Target="people.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CEF7A00-C1ED-4F78-B2FB-16CF5E36A4E3}">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40</Pages>
  <Words>3729</Words>
  <Characters>21260</Characters>
  <Lines>177</Lines>
  <Paragraphs>49</Paragraphs>
  <TotalTime>9</TotalTime>
  <ScaleCrop>false</ScaleCrop>
  <LinksUpToDate>false</LinksUpToDate>
  <CharactersWithSpaces>24940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2021-07-26T01:24:00Z</dcterms:created>
  <dc:creator>得乐且乐</dc:creator>
  <cp:lastModifiedBy>Administrator</cp:lastModifiedBy>
  <cp:lastPrinted>2021-10-08T08:12:00Z</cp:lastPrinted>
  <dcterms:modified xsi:type="dcterms:W3CDTF">2022-02-25T02:58:03Z</dcterms:modified>
  <cp:revision>59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A57A6C803F634C479A622C9A1CF353DF</vt:lpwstr>
  </property>
</Properties>
</file>