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关于公布仰义街道2023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年度重大行政决策目录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各科室：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根据《重大行政决策程序暂行条例》等有关规定，经街道研究同意，编制《仰义街道202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年度重大行政决策目录》并予以公布。现就有关事项通知如下：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各承办科室应当按照《重大行政决策程序暂行条例》规定，严格落实公众参与、专家论证、风险评估、合法性审核、集体讨论决定等程序，确保程序正当、过程公开、责任明确。决策事项未履行重大行政决策相关程序的，不得提交街道领导班子会议审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二、各承办科室要重视重大行政决策的档案管理，对决策立项和决策过程中形成的文件材料及时整理归档，实现重大行政决策全过程记录。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三、重大行政决策目录实行动态管理，因工作需要增减或变更重大行政决策事项的，承办科室应按照相关规定程序提请调整。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79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附件: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instrText xml:space="preserve"> HYPERLINK "http://www.lucheng.gov.cn/module/download/downfile.jsp?classid=0&amp;filename=cb5ce687d9f44a889c952e482871b04c.docx"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仰义街道202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3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年度重大行政决策目录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仰义街道2023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年度重大行政决策目录</w:t>
      </w:r>
    </w:p>
    <w:tbl>
      <w:tblPr>
        <w:tblStyle w:val="5"/>
        <w:tblW w:w="15564" w:type="dxa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655"/>
        <w:gridCol w:w="1035"/>
        <w:gridCol w:w="1470"/>
        <w:gridCol w:w="2250"/>
        <w:gridCol w:w="990"/>
        <w:gridCol w:w="1080"/>
        <w:gridCol w:w="1470"/>
        <w:gridCol w:w="1485"/>
        <w:gridCol w:w="132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序号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重大行政决策事项名称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重大行政决策主体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承办科室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法律政策依据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计划完成时间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合法性审查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集体讨论决定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公众参与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专家论证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官岭南路一期道路工程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温州市鹿城区人民政府仰义街道办事处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前期与工程科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eastAsia="zh-CN"/>
              </w:rPr>
              <w:t>《关于温州鹿城中国鞋都产业园区扩容工程（官岭南路一期道路工程）初步设计的批复》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(温鹿发改审〔2021〕148号)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2023年8月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否（不会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对社会稳定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、公共安全等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面造成不利影响）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美丽街道建设工程（一期）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温州市鹿城区人民政府仰义街道办事处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-SA"/>
              </w:rPr>
              <w:t>城管办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《关于鹿城经济开发区仰义片区基础设施配套项目(产业配套美丽街道建设工程)（一期）初步设计的批复》(温鹿发改审〔2022〕253号)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2024年12月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5300"/>
    <w:rsid w:val="037D44A6"/>
    <w:rsid w:val="0B9D0318"/>
    <w:rsid w:val="139959AD"/>
    <w:rsid w:val="275919CE"/>
    <w:rsid w:val="2BB1717E"/>
    <w:rsid w:val="369F3A7B"/>
    <w:rsid w:val="36BB5293"/>
    <w:rsid w:val="3FDF3597"/>
    <w:rsid w:val="4389078C"/>
    <w:rsid w:val="4AF97B35"/>
    <w:rsid w:val="558F6536"/>
    <w:rsid w:val="6035556A"/>
    <w:rsid w:val="72491934"/>
    <w:rsid w:val="76815831"/>
    <w:rsid w:val="79362494"/>
    <w:rsid w:val="79B6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580</Characters>
  <Lines>0</Lines>
  <Paragraphs>0</Paragraphs>
  <TotalTime>0</TotalTime>
  <ScaleCrop>false</ScaleCrop>
  <LinksUpToDate>false</LinksUpToDate>
  <CharactersWithSpaces>581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2023-03-14T07:55:52Z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33AD1E61A8A541B083EBA562DF0FE029</vt:lpwstr>
  </property>
</Properties>
</file>