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 w:after="0" w:line="480" w:lineRule="atLeast"/>
        <w:ind/>
        <w:jc w:val="center"/>
        <w:rPr>
          <w:rFonts w:hint="eastAsia" w:cs="Arial" w:asciiTheme="minorEastAsia" w:hAnsiTheme="minorEastAsia" w:eastAsiaTheme="minorEastAsia"/>
          <w:color w:val="000000"/>
          <w:sz w:val="36"/>
          <w:szCs w:val="36"/>
        </w:rPr>
      </w:pPr>
      <w:r/>
      <w:bookmarkStart w:id="0" w:name="_GoBack"/>
      <w:r/>
      <w:bookmarkEnd w:id="0"/>
      <w:r>
        <w:rPr>
          <w:rFonts w:hint="eastAsia" w:cs="Arial" w:asciiTheme="minorEastAsia" w:hAnsiTheme="minorEastAsia" w:eastAsiaTheme="minorEastAsia"/>
          <w:color w:val="000000"/>
          <w:sz w:val="36"/>
          <w:szCs w:val="36"/>
        </w:rPr>
        <w:t xml:space="preserve">藤桥镇2020年政府信息公开工作年度报告</w:t>
      </w:r>
      <w:r>
        <w:rPr>
          <w:rFonts w:hint="eastAsia" w:cs="Arial" w:asciiTheme="minorEastAsia" w:hAnsiTheme="minorEastAsia" w:eastAsiaTheme="minorEastAsia"/>
          <w:color w:val="000000"/>
          <w:sz w:val="36"/>
          <w:szCs w:val="36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一、总体情况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 藤桥镇政府信息公开工作年度报告是根据《中华人民共和国政府信息公开条例》和《浙江省政府信息公开暂行办法》，特向社会公布2020年度信息公开年度报告。本报告中所列数据的统计期限自2020年1月1日起至2020年12月31日止。1.藤桥镇主动公开2020年度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 xml:space="preserve">累计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向社会公开政府信息1421条，其中政务网站公开37条，微信公开政府信息1172条，微博公开政府信息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212条。2.依申请公开8件。3.政府信息管理我镇根据自身情况，制定了符合实际的政府信息公开工作制度。一是建立预先审查制度。把政府信息是否公开、怎样公开、如何公开、公开时限等作为审查内容，严格控制信息公开的内容、范围、形式和时限，确保公开工作稳定健康发展。二是健全保密审查机制。明确审查程序和审查人，正确处理公开和保密的关系，防止出现公开操作不当导致泄密、失密的现象出现，保证信息公开工作的顺利推进。三是建立主动和依申请公开制度。对应当让社会公众或服务对象广泛知晓或参与的事项，要及时主动向社会公开；对群众要求公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开的、法律范围内可以公开的、政府应给予公开的，要及时作出是否公开的答复，不能公开要做好解释说明。4.平台建设及监督保障（含《政府信息公开条例》第四项规定）结合我镇实际,制定具体相关实施方案及工作制度，形成了在统一领导下齐抓共管的局面，防止政府公开工作走过场、流于形式。此外，镇政府设立政府官方微博和镇政府公众微信平台，及时发布动态，全面宣传我镇日常工作动态、接受群众评议，镇纪委定期组织对政府信息公开工作进行督导检查，多方面、全方位对信息公开工作进行督促落实，杜绝应公开而不公开、内容不实、违反程序和时限规定等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1、主动公开政府信息情况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2020年度，藤桥镇通过官方微博、“藤桥发布”微信公众平台等多种形式公开政府信息，回应公众关切热点。2020年度</w:t>
      </w:r>
      <w:r>
        <w:rPr>
          <w:rFonts w:hint="eastAsia" w:ascii="Arial" w:hAnsi="Arial" w:eastAsia="宋体" w:cs="Arial"/>
          <w:color w:val="000000"/>
          <w:sz w:val="24"/>
          <w:szCs w:val="24"/>
          <w:lang w:eastAsia="zh-CN"/>
        </w:rPr>
        <w:t xml:space="preserve">累计</w:t>
      </w:r>
      <w:r>
        <w:rPr>
          <w:rFonts w:ascii="Arial" w:hAnsi="Arial" w:eastAsia="宋体" w:cs="Arial"/>
          <w:color w:val="000000"/>
          <w:sz w:val="24"/>
          <w:szCs w:val="24"/>
        </w:rPr>
        <w:t xml:space="preserve">向社会公开政府信息1421条，其中政务网站公开37条，微信公开政府信息1172条，微博公开政府信息212条。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2、收到和处理政府信息公开申请情况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2020年，藤桥镇共收到政府信息公开申请8件，对申请公开的信息做了积极回应，及时进行受理并予以答复，均已处理完毕。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3、政府信息公开行政复议、行政诉讼情况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2020年藤桥镇无行政复议案件和无行政诉讼案件。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4、存在的主要问题及改进措施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2020年藤桥镇在政府信息门户网站上做了一些工作，进一步完善制度，建立机构，公开执行情况有了较大地改善，但仍然存在一定的不足之处，主要表现在：一是主动向社会公开信息的领域有待进一步拓展，随着承担政府工作职能、任务的不断细化及群众对于政务信息公开需求和要求的不断增强；二是相关配套制度执行还不够成熟，虽目前已初步建立了信息公开相关制度，但制度执行的不成熟，也使得信息公开工作难以深入推进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 2020年，藤桥镇将继续采取有力措施，进一步强化政府信息公开工作切实做到以下几点：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（一）是深化组织领导力量。在现有的政府信息公开工作领导小组基础上，进一步深化组织领导，充实队伍力量。同时，细化工作责任，继续深入学习《中华人民共和国政府信息公开条例》的有关规定，为做好政府信息公开工作打好基础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（二）是逐步完善工作制度。在现有制定的制度基础上，进一步细化规范、充实内容。确保政府信息公开工作制度化、规范化发展。努力为群众提供优质、高效的信息公开服务。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（三）是加大政务公开宣传力度。在巩固现有公开渠道的基础上，积极探索政府信息公开的新途径。更好地满足公众对政务信息公开的需求，加大政务信息公开的宣传力度，提高群众对信息查询渠道的知晓率。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       5、其他需要报告的事项   无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二、主动公开政府信息情况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tbl>
      <w:tblPr>
        <w:tblStyle w:val="656"/>
        <w:tblW w:w="8145" w:type="dxa"/>
        <w:jc w:val="center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20"/>
        <w:gridCol w:w="1875"/>
        <w:gridCol w:w="1275"/>
        <w:gridCol w:w="1875"/>
      </w:tblGrid>
      <w:tr>
        <w:trPr>
          <w:jc w:val="center"/>
          <w:trHeight w:val="495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4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第二十条第（一）项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88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    </w:t>
            </w: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制作数量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    </w:t>
            </w: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公开数量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对外公开总数量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2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规章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6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规范性文件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1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80"/>
        </w:trPr>
        <w:tc>
          <w:tcPr>
            <w:gridSpan w:val="4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4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第二十条第（五）项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63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/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2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行政许可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5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其他对外管理服务事项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05"/>
        </w:trPr>
        <w:tc>
          <w:tcPr>
            <w:gridSpan w:val="4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4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第二十条第（六）项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63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/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3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行政处罚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0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行政强制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26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80"/>
        </w:trPr>
        <w:tc>
          <w:tcPr>
            <w:gridSpan w:val="4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4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第二十条第（八）项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7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本年增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/</w:t>
            </w: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5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行政事业性收费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80"/>
        </w:trPr>
        <w:tc>
          <w:tcPr>
            <w:gridSpan w:val="4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4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第二十条第（九）项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8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采购项目数量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采购总金额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54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政府集中采购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1"/>
                <w:szCs w:val="21"/>
              </w:rPr>
              <w:t xml:space="preserve">79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000000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1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1"/>
                <w:szCs w:val="21"/>
              </w:rPr>
              <w:t xml:space="preserve">208.75751万元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</w:tbl>
    <w:p>
      <w:pPr>
        <w:pBdr/>
        <w:spacing w:after="0"/>
        <w:ind/>
        <w:rPr>
          <w:rFonts w:ascii="Arial" w:hAnsi="Arial" w:eastAsia="宋体" w:cs="Arial"/>
          <w:vanish/>
          <w:color w:val="000000"/>
          <w:sz w:val="24"/>
          <w:szCs w:val="24"/>
        </w:rPr>
      </w:pPr>
      <w:r>
        <w:rPr>
          <w:rFonts w:ascii="Arial" w:hAnsi="Arial" w:eastAsia="宋体" w:cs="Arial"/>
          <w:vanish/>
          <w:color w:val="000000"/>
          <w:sz w:val="24"/>
          <w:szCs w:val="24"/>
        </w:rPr>
      </w:r>
      <w:r>
        <w:rPr>
          <w:rFonts w:ascii="Arial" w:hAnsi="Arial" w:eastAsia="宋体" w:cs="Arial"/>
          <w:vanish/>
          <w:color w:val="000000"/>
          <w:sz w:val="24"/>
          <w:szCs w:val="24"/>
        </w:rPr>
      </w:r>
    </w:p>
    <w:tbl>
      <w:tblPr>
        <w:tblStyle w:val="656"/>
        <w:tblW w:w="8145" w:type="dxa"/>
        <w:tblInd w:w="0" w:type="dxa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23"/>
        <w:gridCol w:w="1877"/>
        <w:gridCol w:w="6"/>
        <w:gridCol w:w="1261"/>
        <w:gridCol w:w="1878"/>
      </w:tblGrid>
      <w:tr>
        <w:trPr/>
        <w:tc>
          <w:tcPr>
            <w:tcBorders/>
            <w:tcW w:w="3120" w:type="dxa"/>
            <w:vAlign w:val="center"/>
            <w:textDirection w:val="lrTb"/>
            <w:noWrap w:val="false"/>
          </w:tcPr>
          <w:p>
            <w:pPr>
              <w:pBdr/>
              <w:spacing w:after="150"/>
              <w:ind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  <w:tc>
          <w:tcPr>
            <w:tcBorders/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150"/>
              <w:ind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  <w:tc>
          <w:tcPr>
            <w:tcBorders/>
            <w:tcW w:w="6" w:type="dxa"/>
            <w:vAlign w:val="center"/>
            <w:textDirection w:val="lrTb"/>
            <w:noWrap w:val="false"/>
          </w:tcPr>
          <w:p>
            <w:pPr>
              <w:pBdr/>
              <w:spacing w:after="150"/>
              <w:ind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  <w:tc>
          <w:tcPr>
            <w:tcBorders/>
            <w:tcW w:w="1260" w:type="dxa"/>
            <w:vAlign w:val="center"/>
            <w:textDirection w:val="lrTb"/>
            <w:noWrap w:val="false"/>
          </w:tcPr>
          <w:p>
            <w:pPr>
              <w:pBdr/>
              <w:spacing w:after="150"/>
              <w:ind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  <w:tc>
          <w:tcPr>
            <w:tcBorders/>
            <w:tcW w:w="1875" w:type="dxa"/>
            <w:vAlign w:val="center"/>
            <w:textDirection w:val="lrTb"/>
            <w:noWrap w:val="false"/>
          </w:tcPr>
          <w:p>
            <w:pPr>
              <w:pBdr/>
              <w:spacing w:after="150"/>
              <w:ind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</w:tr>
    </w:tbl>
    <w:p>
      <w:pPr>
        <w:pBdr/>
        <w:spacing w:after="0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三、收到和处理政府信息公开申请情况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tbl>
      <w:tblPr>
        <w:tblStyle w:val="656"/>
        <w:tblW w:w="9075" w:type="dxa"/>
        <w:jc w:val="center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5"/>
        <w:gridCol w:w="855"/>
        <w:gridCol w:w="2085"/>
        <w:gridCol w:w="810"/>
        <w:gridCol w:w="750"/>
        <w:gridCol w:w="750"/>
        <w:gridCol w:w="885"/>
        <w:gridCol w:w="900"/>
        <w:gridCol w:w="720"/>
        <w:gridCol w:w="705"/>
      </w:tblGrid>
      <w:tr>
        <w:trPr>
          <w:jc w:val="center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5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（本列数据的勾稽关系为：第一项加第二项之和，等于第三项加第四项之和）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7"/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5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申请人情况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72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自然人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40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法人或其他组织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商业企业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科研机构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社会公益组织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法律服务机构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其他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420"/>
        </w:trPr>
        <w:tc>
          <w:tcPr>
            <w:gridSpan w:val="3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55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一、本年新收政府信息公开申请数量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55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二、上年结转政府信息公开申请数量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1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三、本年度办理结果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（一）予以公开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117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（二）部分公开（区分处理的，只计这一情形，不计其他情形）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72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（三）不予公开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1.属于国家秘密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85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2.其他法律行政法规禁止公开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3.危及“三安全一稳定”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4.保护第三方合法权益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5.属于三类内部事务信息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81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6.属于四类过程性信息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7.属于行政执法案卷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8.属于行政查询事项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72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（四）无法提供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1.本机关不掌握相关政府信息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2.没有现成信息需要另行制作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3.补正后申请内容仍不明确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72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5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（五）不予处理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1.信访举报投诉类申请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2.重复申请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3.要求提供公开出版物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4.无正当理由大量反复申请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0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5.要求行政机关确认或重新出具已获取信息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（六）其他处理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（七）总计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8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55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四、结转下年度继续办理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1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5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8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9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2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</w:tbl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1"/>
          <w:szCs w:val="21"/>
        </w:rPr>
        <w:t xml:space="preserve"> </w:t>
      </w:r>
      <w:r>
        <w:rPr>
          <w:rFonts w:ascii="Arial" w:hAnsi="Arial" w:eastAsia="宋体" w:cs="Arial"/>
          <w:color w:val="000000"/>
          <w:sz w:val="24"/>
          <w:szCs w:val="24"/>
        </w:rPr>
      </w:r>
    </w:p>
    <w:p>
      <w:pPr>
        <w:pBdr/>
        <w:spacing w:after="0" w:line="480" w:lineRule="atLeast"/>
        <w:ind/>
        <w:rPr>
          <w:rFonts w:ascii="Arial" w:hAnsi="Arial" w:eastAsia="宋体" w:cs="Arial"/>
          <w:color w:val="000000"/>
          <w:sz w:val="24"/>
          <w:szCs w:val="24"/>
        </w:rPr>
      </w:pPr>
      <w:r>
        <w:rPr>
          <w:rFonts w:ascii="Arial" w:hAnsi="Arial" w:eastAsia="宋体" w:cs="Arial"/>
          <w:color w:val="000000"/>
          <w:sz w:val="24"/>
          <w:szCs w:val="24"/>
        </w:rPr>
        <w:t xml:space="preserve">4、政府信息公开行政复议、行政诉讼情况</w:t>
      </w:r>
      <w:r>
        <w:rPr>
          <w:rFonts w:ascii="Arial" w:hAnsi="Arial" w:eastAsia="宋体" w:cs="Arial"/>
          <w:color w:val="000000"/>
          <w:sz w:val="24"/>
          <w:szCs w:val="24"/>
        </w:rPr>
      </w:r>
    </w:p>
    <w:tbl>
      <w:tblPr>
        <w:tblStyle w:val="656"/>
        <w:tblW w:w="9090" w:type="dxa"/>
        <w:jc w:val="center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97"/>
        <w:gridCol w:w="597"/>
        <w:gridCol w:w="597"/>
        <w:gridCol w:w="598"/>
        <w:gridCol w:w="672"/>
        <w:gridCol w:w="553"/>
        <w:gridCol w:w="583"/>
        <w:gridCol w:w="569"/>
        <w:gridCol w:w="410"/>
        <w:gridCol w:w="894"/>
        <w:gridCol w:w="598"/>
        <w:gridCol w:w="598"/>
        <w:gridCol w:w="598"/>
        <w:gridCol w:w="613"/>
        <w:gridCol w:w="613"/>
      </w:tblGrid>
      <w:tr>
        <w:trPr>
          <w:jc w:val="center"/>
        </w:trPr>
        <w:tc>
          <w:tcPr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行政复议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10"/>
            <w:tcBorders>
              <w:top w:val="single" w:color="auto" w:sz="6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1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行政诉讼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29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未经复议直接起诉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03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复议后起诉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2220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5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其他结果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1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1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微软雅黑" w:hAnsi="微软雅黑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  <w:tr>
        <w:trPr>
          <w:jc w:val="center"/>
          <w:trHeight w:val="645"/>
        </w:trPr>
        <w:tc>
          <w:tcPr>
            <w:tcBorders>
              <w:top w:val="none" w:color="000000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5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8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57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 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37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70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00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1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top w:w="0" w:type="dxa"/>
              <w:right w:w="105" w:type="dxa"/>
              <w:bottom w:w="0" w:type="dxa"/>
            </w:tcMar>
            <w:tcW w:w="615" w:type="dxa"/>
            <w:vAlign w:val="center"/>
            <w:textDirection w:val="lrTb"/>
            <w:noWrap w:val="false"/>
          </w:tcPr>
          <w:p>
            <w:pPr>
              <w:pBdr/>
              <w:spacing w:after="0" w:line="495" w:lineRule="atLeast"/>
              <w:ind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0</w:t>
            </w:r>
            <w:r>
              <w:rPr>
                <w:rFonts w:ascii="宋体" w:hAnsi="宋体" w:eastAsia="宋体" w:cs="宋体"/>
                <w:sz w:val="21"/>
                <w:szCs w:val="21"/>
              </w:rPr>
            </w:r>
          </w:p>
        </w:tc>
      </w:tr>
    </w:tbl>
    <w:p>
      <w:pPr>
        <w:pBdr/>
        <w:spacing/>
        <w:ind/>
        <w:rPr/>
      </w:pPr>
      <w:r/>
      <w:r/>
    </w:p>
    <w:sectPr>
      <w:footnotePr/>
      <w:endnotePr/>
      <w:type w:val="nextPage"/>
      <w:pgSz w:h="16838" w:orient="landscape" w:w="11906"/>
      <w:pgMar w:top="1440" w:right="1800" w:bottom="1440" w:left="1800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</w:font>
  <w:font w:name="宋体">
    <w:panose1 w:val="02010600030101010101"/>
  </w:font>
  <w:font w:name="Tahoma">
    <w:panose1 w:val="020B0604030504040204"/>
  </w:font>
  <w:font w:name="等线">
    <w:panose1 w:val="02010600030101010101"/>
  </w:font>
  <w:font w:name="Arial">
    <w:panose1 w:val="020B0604020202020204"/>
  </w:font>
  <w:font w:name="微软雅黑">
    <w:panose1 w:val="020B0503020204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before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before="0" w:line="240" w:lineRule="auto"/>
        <w:ind/>
        <w:rPr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微软雅黑" w:asciiTheme="minorHAnsi" w:hAnsiTheme="minorHAnsi" w:cstheme="minorBidi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54"/>
    <w:next w:val="654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55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54"/>
    <w:next w:val="654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55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54"/>
    <w:next w:val="654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55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54"/>
    <w:next w:val="654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55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54"/>
    <w:next w:val="654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55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54"/>
    <w:next w:val="654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55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54"/>
    <w:next w:val="654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55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54"/>
    <w:next w:val="654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55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54"/>
    <w:next w:val="654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55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54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54"/>
    <w:next w:val="654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55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54"/>
    <w:next w:val="654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55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54"/>
    <w:next w:val="654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54"/>
    <w:next w:val="654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54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55"/>
    <w:link w:val="42"/>
    <w:uiPriority w:val="99"/>
    <w:pPr>
      <w:pBdr/>
      <w:spacing/>
      <w:ind/>
    </w:pPr>
  </w:style>
  <w:style w:type="paragraph" w:styleId="44">
    <w:name w:val="Footer"/>
    <w:basedOn w:val="654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55"/>
    <w:link w:val="44"/>
    <w:uiPriority w:val="99"/>
    <w:pPr>
      <w:pBdr/>
      <w:spacing/>
      <w:ind/>
    </w:pPr>
  </w:style>
  <w:style w:type="paragraph" w:styleId="46">
    <w:name w:val="Caption"/>
    <w:basedOn w:val="654"/>
    <w:next w:val="654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56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5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5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56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56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56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56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54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55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54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55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54"/>
    <w:next w:val="654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54"/>
    <w:next w:val="654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54"/>
    <w:next w:val="654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54"/>
    <w:next w:val="654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54"/>
    <w:next w:val="654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54"/>
    <w:next w:val="654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54"/>
    <w:next w:val="654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54"/>
    <w:next w:val="654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54"/>
    <w:next w:val="654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54"/>
    <w:next w:val="654"/>
    <w:uiPriority w:val="99"/>
    <w:unhideWhenUsed/>
    <w:pPr>
      <w:pBdr/>
      <w:spacing w:after="0" w:afterAutospacing="0"/>
      <w:ind/>
    </w:pPr>
  </w:style>
  <w:style w:type="paragraph" w:styleId="654" w:default="1">
    <w:name w:val="Normal"/>
    <w:uiPriority w:val="0"/>
    <w:qFormat/>
    <w:pPr>
      <w:pBdr/>
      <w:spacing w:after="200" w:line="240" w:lineRule="auto"/>
      <w:ind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styleId="655" w:default="1">
    <w:name w:val="Default Paragraph Font"/>
    <w:uiPriority w:val="1"/>
    <w:semiHidden/>
    <w:unhideWhenUsed/>
    <w:pPr>
      <w:pBdr/>
      <w:spacing/>
      <w:ind/>
    </w:pPr>
  </w:style>
  <w:style w:type="table" w:styleId="656" w:default="1">
    <w:name w:val="Normal Table"/>
    <w:uiPriority w:val="99"/>
    <w:semiHidden/>
    <w:unhideWhenUsed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57">
    <w:name w:val="Normal (Web)"/>
    <w:basedOn w:val="654"/>
    <w:uiPriority w:val="99"/>
    <w:unhideWhenUsed/>
    <w:pPr>
      <w:pBdr/>
      <w:spacing w:after="100" w:afterAutospacing="1" w:before="100" w:beforeAutospacing="1"/>
      <w:ind/>
    </w:pPr>
    <w:rPr>
      <w:rFonts w:ascii="宋体" w:hAnsi="宋体" w:eastAsia="宋体" w:cs="宋体"/>
      <w:sz w:val="24"/>
      <w:szCs w:val="24"/>
    </w:rPr>
  </w:style>
  <w:style w:type="numbering" w:styleId="4133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Arial"/>
      </a:majorFont>
      <a:minorFont>
        <a:latin typeface="等线"/>
        <a:ea typeface="等线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</cp:lastModifiedBy>
  <cp:revision>3</cp:revision>
  <dcterms:created xsi:type="dcterms:W3CDTF">2021-02-08T07:14:00Z</dcterms:created>
  <dcterms:modified xsi:type="dcterms:W3CDTF">2024-01-30T10:18:17Z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CB730F523D574D31B2FAD9C873BF9601</vt:lpwstr>
  </property>
</Properties>
</file>