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after="0" w:line="560" w:lineRule="exact"/>
        <w:textAlignment w:val="auto"/>
        <w:rPr>
          <w:rFonts w:hint="default" w:ascii="小标宋" w:hAnsi="小标宋" w:eastAsia="小标宋" w:cs="小标宋"/>
          <w:color w:val="000000"/>
          <w:sz w:val="44"/>
          <w:szCs w:val="44"/>
          <w:lang w:val="en-US" w:eastAsia="zh-CN"/>
        </w:rPr>
      </w:pPr>
    </w:p>
    <w:p>
      <w:pPr>
        <w:pStyle w:val="4"/>
        <w:keepNext w:val="0"/>
        <w:keepLines w:val="0"/>
        <w:pageBreakBefore w:val="0"/>
        <w:kinsoku/>
        <w:wordWrap/>
        <w:overflowPunct/>
        <w:topLinePunct w:val="0"/>
        <w:autoSpaceDE/>
        <w:autoSpaceDN/>
        <w:bidi w:val="0"/>
        <w:adjustRightInd/>
        <w:snapToGrid/>
        <w:spacing w:after="0" w:line="580" w:lineRule="exact"/>
        <w:jc w:val="center"/>
        <w:textAlignment w:val="auto"/>
        <w:rPr>
          <w:rFonts w:hint="eastAsia" w:ascii="小标宋" w:hAnsi="小标宋" w:eastAsia="小标宋" w:cs="小标宋"/>
          <w:color w:val="000000"/>
          <w:sz w:val="44"/>
          <w:szCs w:val="44"/>
          <w:lang w:val="en-US" w:eastAsia="zh-CN"/>
        </w:rPr>
      </w:pPr>
      <w:r>
        <w:rPr>
          <w:rFonts w:hint="default" w:ascii="小标宋" w:hAnsi="小标宋" w:eastAsia="小标宋" w:cs="小标宋"/>
          <w:color w:val="000000"/>
          <w:sz w:val="44"/>
          <w:szCs w:val="44"/>
          <w:lang w:val="en-US" w:eastAsia="zh-CN"/>
        </w:rPr>
        <w:t>关于</w:t>
      </w:r>
      <w:r>
        <w:rPr>
          <w:rFonts w:hint="eastAsia" w:cs="小标宋"/>
          <w:color w:val="000000"/>
          <w:sz w:val="44"/>
          <w:szCs w:val="44"/>
          <w:lang w:val="en-US" w:eastAsia="zh-CN"/>
        </w:rPr>
        <w:t>《</w:t>
      </w:r>
      <w:r>
        <w:rPr>
          <w:rFonts w:hint="eastAsia" w:ascii="小标宋" w:hAnsi="小标宋" w:eastAsia="小标宋" w:cs="小标宋"/>
          <w:color w:val="000000"/>
          <w:sz w:val="44"/>
          <w:szCs w:val="44"/>
          <w:lang w:val="en-US" w:eastAsia="zh-CN"/>
        </w:rPr>
        <w:t>加快西部新城核心区产业招商实施意见</w:t>
      </w:r>
    </w:p>
    <w:p>
      <w:pPr>
        <w:pStyle w:val="4"/>
        <w:keepNext w:val="0"/>
        <w:keepLines w:val="0"/>
        <w:pageBreakBefore w:val="0"/>
        <w:kinsoku/>
        <w:wordWrap/>
        <w:overflowPunct/>
        <w:topLinePunct w:val="0"/>
        <w:autoSpaceDE/>
        <w:autoSpaceDN/>
        <w:bidi w:val="0"/>
        <w:adjustRightInd/>
        <w:snapToGrid/>
        <w:spacing w:after="0" w:line="580" w:lineRule="exact"/>
        <w:jc w:val="center"/>
        <w:textAlignment w:val="auto"/>
        <w:rPr>
          <w:rFonts w:hint="default" w:ascii="小标宋" w:hAnsi="小标宋" w:eastAsia="小标宋" w:cs="小标宋"/>
          <w:color w:val="000000"/>
          <w:sz w:val="44"/>
          <w:szCs w:val="44"/>
          <w:lang w:val="en-US" w:eastAsia="zh-CN"/>
        </w:rPr>
      </w:pPr>
      <w:r>
        <w:rPr>
          <w:rFonts w:hint="eastAsia" w:ascii="小标宋" w:hAnsi="小标宋" w:eastAsia="小标宋" w:cs="小标宋"/>
          <w:color w:val="000000"/>
          <w:sz w:val="44"/>
          <w:szCs w:val="44"/>
          <w:lang w:val="en-US" w:eastAsia="zh-CN"/>
        </w:rPr>
        <w:t>（</w:t>
      </w:r>
      <w:r>
        <w:rPr>
          <w:rFonts w:hint="eastAsia" w:cs="小标宋"/>
          <w:color w:val="000000"/>
          <w:sz w:val="44"/>
          <w:szCs w:val="44"/>
          <w:lang w:val="en-US" w:eastAsia="zh-CN"/>
        </w:rPr>
        <w:t>征求意见稿</w:t>
      </w:r>
      <w:r>
        <w:rPr>
          <w:rFonts w:hint="eastAsia" w:ascii="小标宋" w:hAnsi="小标宋" w:eastAsia="小标宋" w:cs="小标宋"/>
          <w:color w:val="000000"/>
          <w:sz w:val="44"/>
          <w:szCs w:val="44"/>
          <w:lang w:val="en-US" w:eastAsia="zh-CN"/>
        </w:rPr>
        <w:t>）</w:t>
      </w:r>
      <w:r>
        <w:rPr>
          <w:rFonts w:hint="eastAsia" w:cs="小标宋"/>
          <w:color w:val="000000"/>
          <w:sz w:val="44"/>
          <w:szCs w:val="44"/>
          <w:lang w:val="en-US" w:eastAsia="zh-CN"/>
        </w:rPr>
        <w:t>》</w:t>
      </w:r>
      <w:r>
        <w:rPr>
          <w:rFonts w:hint="default" w:ascii="小标宋" w:hAnsi="小标宋" w:eastAsia="小标宋" w:cs="小标宋"/>
          <w:color w:val="000000"/>
          <w:sz w:val="44"/>
          <w:szCs w:val="44"/>
          <w:lang w:val="en-US" w:eastAsia="zh-CN"/>
        </w:rPr>
        <w:t>的</w:t>
      </w:r>
      <w:r>
        <w:rPr>
          <w:rFonts w:hint="default" w:ascii="小标宋" w:hAnsi="小标宋" w:eastAsia="小标宋" w:cs="小标宋"/>
          <w:b w:val="0"/>
          <w:bCs w:val="0"/>
          <w:color w:val="000000"/>
          <w:sz w:val="44"/>
          <w:szCs w:val="44"/>
          <w:lang w:val="en-US" w:eastAsia="zh-CN"/>
        </w:rPr>
        <w:t>起草</w:t>
      </w:r>
      <w:r>
        <w:rPr>
          <w:rFonts w:hint="default" w:ascii="小标宋" w:hAnsi="小标宋" w:eastAsia="小标宋" w:cs="小标宋"/>
          <w:color w:val="000000"/>
          <w:sz w:val="44"/>
          <w:szCs w:val="44"/>
          <w:lang w:val="en-US" w:eastAsia="zh-CN"/>
        </w:rPr>
        <w:t>说明</w:t>
      </w:r>
    </w:p>
    <w:p>
      <w:pPr>
        <w:pStyle w:val="2"/>
        <w:spacing w:line="580" w:lineRule="exact"/>
        <w:rPr>
          <w:rFonts w:hint="default"/>
          <w:color w:val="000000"/>
          <w:lang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300" w:lineRule="auto"/>
        <w:ind w:firstLine="640" w:firstLineChars="200"/>
        <w:jc w:val="both"/>
        <w:textAlignment w:val="auto"/>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出台政策的背景和依据</w:t>
      </w:r>
    </w:p>
    <w:p>
      <w:pPr>
        <w:keepNext w:val="0"/>
        <w:keepLines w:val="0"/>
        <w:pageBreakBefore w:val="0"/>
        <w:widowControl w:val="0"/>
        <w:kinsoku/>
        <w:wordWrap/>
        <w:overflowPunct/>
        <w:topLinePunct w:val="0"/>
        <w:autoSpaceDE/>
        <w:autoSpaceDN/>
        <w:bidi w:val="0"/>
        <w:spacing w:line="300" w:lineRule="auto"/>
        <w:ind w:left="0" w:leftChars="0" w:firstLine="640" w:firstLineChars="200"/>
        <w:jc w:val="left"/>
        <w:textAlignment w:val="auto"/>
        <w:outlineLvl w:val="9"/>
        <w:rPr>
          <w:rFonts w:hint="eastAsia" w:ascii="仿宋" w:hAnsi="仿宋" w:eastAsia="仿宋" w:cs="仿宋"/>
          <w:b w:val="0"/>
          <w:bCs w:val="0"/>
          <w:color w:val="000000"/>
          <w:kern w:val="2"/>
          <w:sz w:val="32"/>
          <w:szCs w:val="32"/>
          <w:lang w:eastAsia="zh-CN" w:bidi="ar"/>
        </w:rPr>
      </w:pPr>
      <w:r>
        <w:rPr>
          <w:rFonts w:hint="eastAsia" w:ascii="仿宋" w:hAnsi="仿宋" w:eastAsia="仿宋" w:cs="仿宋"/>
          <w:b w:val="0"/>
          <w:bCs w:val="0"/>
          <w:color w:val="000000"/>
          <w:sz w:val="32"/>
          <w:szCs w:val="32"/>
          <w:highlight w:val="none"/>
        </w:rPr>
        <w:t>为</w:t>
      </w:r>
      <w:r>
        <w:rPr>
          <w:rFonts w:hint="eastAsia" w:ascii="仿宋" w:hAnsi="仿宋" w:eastAsia="仿宋" w:cs="仿宋"/>
          <w:b w:val="0"/>
          <w:bCs w:val="0"/>
          <w:color w:val="000000"/>
          <w:sz w:val="32"/>
          <w:szCs w:val="32"/>
          <w:highlight w:val="none"/>
          <w:lang w:val="en-US" w:eastAsia="zh-CN"/>
        </w:rPr>
        <w:t>进一步加强西部新城产业招引和构建，加快打造鹿城西部片区时尚产业高地</w:t>
      </w:r>
      <w:r>
        <w:rPr>
          <w:rFonts w:hint="eastAsia" w:ascii="仿宋" w:hAnsi="仿宋" w:eastAsia="仿宋" w:cs="仿宋"/>
          <w:b w:val="0"/>
          <w:bCs w:val="0"/>
          <w:color w:val="000000"/>
          <w:sz w:val="32"/>
          <w:szCs w:val="32"/>
          <w:highlight w:val="none"/>
        </w:rPr>
        <w:t>，提升温州时尚</w:t>
      </w:r>
      <w:r>
        <w:rPr>
          <w:rFonts w:hint="eastAsia" w:ascii="仿宋" w:hAnsi="仿宋" w:eastAsia="仿宋" w:cs="仿宋"/>
          <w:b w:val="0"/>
          <w:bCs w:val="0"/>
          <w:color w:val="000000"/>
          <w:sz w:val="32"/>
          <w:szCs w:val="32"/>
          <w:highlight w:val="none"/>
          <w:lang w:val="en-US" w:eastAsia="zh-CN"/>
        </w:rPr>
        <w:t>智造</w:t>
      </w:r>
      <w:r>
        <w:rPr>
          <w:rFonts w:hint="eastAsia" w:ascii="仿宋" w:hAnsi="仿宋" w:eastAsia="仿宋" w:cs="仿宋"/>
          <w:b w:val="0"/>
          <w:bCs w:val="0"/>
          <w:color w:val="000000"/>
          <w:sz w:val="32"/>
          <w:szCs w:val="32"/>
          <w:highlight w:val="none"/>
        </w:rPr>
        <w:t>产业的支撑度，</w:t>
      </w:r>
      <w:r>
        <w:rPr>
          <w:rFonts w:hint="eastAsia" w:ascii="仿宋" w:hAnsi="仿宋" w:eastAsia="仿宋" w:cs="仿宋"/>
          <w:b w:val="0"/>
          <w:bCs w:val="0"/>
          <w:color w:val="000000"/>
          <w:sz w:val="32"/>
          <w:szCs w:val="32"/>
          <w:highlight w:val="none"/>
          <w:lang w:eastAsia="zh-CN"/>
        </w:rPr>
        <w:t>鼓励</w:t>
      </w:r>
      <w:r>
        <w:rPr>
          <w:rFonts w:hint="eastAsia" w:ascii="仿宋" w:hAnsi="仿宋" w:eastAsia="仿宋" w:cs="仿宋"/>
          <w:b w:val="0"/>
          <w:bCs w:val="0"/>
          <w:color w:val="000000"/>
          <w:sz w:val="32"/>
          <w:szCs w:val="32"/>
          <w:highlight w:val="none"/>
          <w:lang w:val="en-US" w:eastAsia="zh-CN"/>
        </w:rPr>
        <w:t>时尚智造、装备制造、数字经济及相关生产性服务业等行业企业、总部企业、商会类机构及温商落户西部新城，支持重大产业项目落地、优质企业落户、</w:t>
      </w:r>
      <w:r>
        <w:rPr>
          <w:rFonts w:hint="eastAsia" w:ascii="仿宋" w:hAnsi="仿宋" w:eastAsia="仿宋" w:cs="仿宋"/>
          <w:b w:val="0"/>
          <w:bCs w:val="0"/>
          <w:color w:val="000000"/>
          <w:sz w:val="32"/>
          <w:szCs w:val="32"/>
          <w:highlight w:val="none"/>
          <w:lang w:eastAsia="zh-CN"/>
        </w:rPr>
        <w:t>温商回归及</w:t>
      </w:r>
      <w:r>
        <w:rPr>
          <w:rFonts w:hint="eastAsia" w:ascii="仿宋" w:hAnsi="仿宋" w:eastAsia="仿宋" w:cs="仿宋"/>
          <w:b w:val="0"/>
          <w:bCs w:val="0"/>
          <w:color w:val="000000"/>
          <w:sz w:val="32"/>
          <w:szCs w:val="32"/>
          <w:highlight w:val="none"/>
          <w:lang w:val="en-US" w:eastAsia="zh-CN"/>
        </w:rPr>
        <w:t>优秀人才聚集，</w:t>
      </w:r>
      <w:r>
        <w:rPr>
          <w:rFonts w:hint="eastAsia" w:ascii="仿宋" w:hAnsi="仿宋" w:eastAsia="仿宋" w:cs="仿宋"/>
          <w:b w:val="0"/>
          <w:bCs w:val="0"/>
          <w:i w:val="0"/>
          <w:iCs w:val="0"/>
          <w:color w:val="000000"/>
          <w:sz w:val="32"/>
          <w:szCs w:val="32"/>
          <w:shd w:val="clear" w:color="auto" w:fill="auto"/>
          <w:lang w:val="en-US" w:eastAsia="zh-CN"/>
        </w:rPr>
        <w:t>结合我区实际，</w:t>
      </w:r>
      <w:r>
        <w:rPr>
          <w:rFonts w:hint="eastAsia" w:ascii="仿宋" w:hAnsi="仿宋" w:eastAsia="仿宋" w:cs="仿宋"/>
          <w:b w:val="0"/>
          <w:bCs w:val="0"/>
          <w:i w:val="0"/>
          <w:iCs w:val="0"/>
          <w:color w:val="000000"/>
          <w:sz w:val="32"/>
          <w:szCs w:val="32"/>
          <w:u w:val="none"/>
          <w:shd w:val="clear" w:color="auto" w:fill="auto"/>
          <w:lang w:val="en-US" w:eastAsia="zh-CN"/>
        </w:rPr>
        <w:t>拟</w:t>
      </w:r>
      <w:r>
        <w:rPr>
          <w:rFonts w:hint="eastAsia" w:ascii="仿宋" w:hAnsi="仿宋" w:eastAsia="仿宋" w:cs="仿宋"/>
          <w:b w:val="0"/>
          <w:bCs w:val="0"/>
          <w:i w:val="0"/>
          <w:iCs w:val="0"/>
          <w:color w:val="000000"/>
          <w:sz w:val="32"/>
          <w:szCs w:val="32"/>
          <w:shd w:val="clear" w:color="auto" w:fill="auto"/>
          <w:lang w:val="en-US" w:eastAsia="zh-CN"/>
        </w:rPr>
        <w:t>定了</w:t>
      </w:r>
      <w:r>
        <w:rPr>
          <w:rFonts w:hint="eastAsia" w:ascii="仿宋" w:hAnsi="仿宋" w:eastAsia="仿宋" w:cs="仿宋"/>
          <w:b w:val="0"/>
          <w:bCs w:val="0"/>
          <w:color w:val="000000"/>
          <w:kern w:val="2"/>
          <w:sz w:val="32"/>
          <w:szCs w:val="32"/>
          <w:lang w:val="en-US" w:eastAsia="zh-CN" w:bidi="ar"/>
        </w:rPr>
        <w:t>《加快西部新城核心区产业招商实施意见</w:t>
      </w:r>
      <w:r>
        <w:rPr>
          <w:rFonts w:hint="eastAsia" w:ascii="仿宋" w:hAnsi="仿宋" w:eastAsia="仿宋" w:cs="仿宋"/>
          <w:b w:val="0"/>
          <w:bCs w:val="0"/>
          <w:color w:val="000000"/>
          <w:sz w:val="32"/>
          <w:szCs w:val="32"/>
          <w:shd w:val="clear" w:color="auto" w:fill="auto"/>
          <w:lang w:eastAsia="zh-CN"/>
        </w:rPr>
        <w:t>（征求意见稿）</w:t>
      </w:r>
      <w:r>
        <w:rPr>
          <w:rFonts w:hint="eastAsia" w:ascii="仿宋" w:hAnsi="仿宋" w:eastAsia="仿宋" w:cs="仿宋"/>
          <w:b w:val="0"/>
          <w:bCs w:val="0"/>
          <w:color w:val="000000"/>
          <w:kern w:val="2"/>
          <w:sz w:val="32"/>
          <w:szCs w:val="32"/>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00" w:lineRule="auto"/>
        <w:ind w:firstLine="640" w:firstLineChars="200"/>
        <w:jc w:val="both"/>
        <w:textAlignment w:val="auto"/>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主要内容和框架</w:t>
      </w:r>
    </w:p>
    <w:p>
      <w:pPr>
        <w:keepNext w:val="0"/>
        <w:keepLines w:val="0"/>
        <w:pageBreakBefore w:val="0"/>
        <w:widowControl w:val="0"/>
        <w:kinsoku/>
        <w:wordWrap/>
        <w:overflowPunct/>
        <w:topLinePunct w:val="0"/>
        <w:autoSpaceDE/>
        <w:autoSpaceDN/>
        <w:bidi w:val="0"/>
        <w:adjustRightInd/>
        <w:spacing w:line="300" w:lineRule="auto"/>
        <w:ind w:firstLine="640" w:firstLineChars="200"/>
        <w:textAlignment w:val="auto"/>
        <w:outlineLvl w:val="9"/>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本意见主要分为适用范围、政策内容、附则等</w:t>
      </w:r>
      <w:r>
        <w:rPr>
          <w:rFonts w:hint="eastAsia" w:ascii="仿宋" w:hAnsi="仿宋" w:eastAsia="仿宋" w:cs="仿宋"/>
          <w:b w:val="0"/>
          <w:bCs w:val="0"/>
          <w:color w:val="000000"/>
          <w:sz w:val="32"/>
          <w:szCs w:val="32"/>
          <w:highlight w:val="none"/>
          <w:lang w:eastAsia="zh-CN"/>
        </w:rPr>
        <w:t>三</w:t>
      </w:r>
      <w:r>
        <w:rPr>
          <w:rFonts w:hint="eastAsia" w:ascii="仿宋" w:hAnsi="仿宋" w:eastAsia="仿宋" w:cs="仿宋"/>
          <w:b w:val="0"/>
          <w:bCs w:val="0"/>
          <w:color w:val="000000"/>
          <w:sz w:val="32"/>
          <w:szCs w:val="32"/>
          <w:highlight w:val="none"/>
          <w:lang w:val="en-US" w:eastAsia="zh-CN"/>
        </w:rPr>
        <w:t>部分内容。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640"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color w:val="000000"/>
          <w:kern w:val="2"/>
          <w:sz w:val="32"/>
          <w:szCs w:val="32"/>
          <w:shd w:val="clear" w:color="auto" w:fill="auto"/>
          <w:lang w:val="en-US" w:eastAsia="zh-CN" w:bidi="ar-SA"/>
        </w:rPr>
        <w:t>第一部分为适用范围。</w:t>
      </w:r>
      <w:r>
        <w:rPr>
          <w:rFonts w:hint="eastAsia" w:ascii="仿宋" w:hAnsi="仿宋" w:eastAsia="仿宋" w:cs="仿宋"/>
          <w:b w:val="0"/>
          <w:bCs w:val="0"/>
          <w:color w:val="000000"/>
          <w:sz w:val="32"/>
          <w:szCs w:val="32"/>
          <w:highlight w:val="none"/>
          <w:lang w:val="en-US" w:eastAsia="zh-CN"/>
        </w:rPr>
        <w:t>规定了本意见适用于符合西部新城产业导向的，并在西部新城落地重大产业项目或置业落户，税收等财政隶属关系在鹿城区范围内，实行独立核算，依法开展经营活动，具有独立法人资格的企业</w:t>
      </w:r>
      <w:r>
        <w:rPr>
          <w:rFonts w:hint="eastAsia" w:ascii="仿宋" w:hAnsi="仿宋" w:eastAsia="仿宋" w:cs="仿宋"/>
          <w:b w:val="0"/>
          <w:bCs w:val="0"/>
          <w:color w:val="000000"/>
          <w:sz w:val="32"/>
          <w:szCs w:val="32"/>
          <w:highlight w:val="none"/>
          <w:lang w:eastAsia="zh-CN"/>
        </w:rPr>
        <w:t>，以及按照本意见规定可享受扶持政策的商会类机构及温商。</w:t>
      </w:r>
    </w:p>
    <w:p>
      <w:pPr>
        <w:pStyle w:val="3"/>
        <w:keepNext w:val="0"/>
        <w:keepLines w:val="0"/>
        <w:pageBreakBefore w:val="0"/>
        <w:widowControl w:val="0"/>
        <w:kinsoku/>
        <w:wordWrap/>
        <w:overflowPunct/>
        <w:topLinePunct w:val="0"/>
        <w:autoSpaceDE/>
        <w:autoSpaceDN/>
        <w:bidi w:val="0"/>
        <w:adjustRightInd/>
        <w:spacing w:line="300" w:lineRule="auto"/>
        <w:ind w:left="0" w:leftChars="0" w:firstLine="0" w:firstLineChars="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shd w:val="clear" w:color="auto" w:fill="auto"/>
          <w:lang w:eastAsia="zh-CN" w:bidi="ar-SA"/>
        </w:rPr>
        <w:t xml:space="preserve">    </w:t>
      </w:r>
      <w:r>
        <w:rPr>
          <w:rFonts w:hint="eastAsia" w:ascii="楷体" w:hAnsi="楷体" w:eastAsia="楷体" w:cs="楷体"/>
          <w:b w:val="0"/>
          <w:bCs w:val="0"/>
          <w:color w:val="000000"/>
          <w:kern w:val="2"/>
          <w:sz w:val="32"/>
          <w:szCs w:val="32"/>
          <w:shd w:val="clear" w:color="auto" w:fill="auto"/>
          <w:lang w:val="en-US" w:eastAsia="zh-CN" w:bidi="ar-SA"/>
        </w:rPr>
        <w:t>第二部分为政策内容。</w:t>
      </w:r>
      <w:r>
        <w:rPr>
          <w:rFonts w:hint="eastAsia" w:ascii="仿宋" w:hAnsi="仿宋" w:eastAsia="仿宋" w:cs="仿宋"/>
          <w:b w:val="0"/>
          <w:bCs w:val="0"/>
          <w:color w:val="000000"/>
          <w:sz w:val="32"/>
          <w:szCs w:val="32"/>
          <w:lang w:val="en-US" w:eastAsia="zh-CN"/>
        </w:rPr>
        <w:t>主要分为支持重大产业项目落地、支持优质企业落户、</w:t>
      </w:r>
      <w:r>
        <w:rPr>
          <w:rFonts w:hint="eastAsia" w:ascii="仿宋" w:hAnsi="仿宋" w:eastAsia="仿宋" w:cs="仿宋"/>
          <w:b w:val="0"/>
          <w:bCs w:val="0"/>
          <w:color w:val="000000"/>
          <w:sz w:val="32"/>
          <w:szCs w:val="32"/>
          <w:lang w:eastAsia="zh-CN"/>
        </w:rPr>
        <w:t>支持温商回归、</w:t>
      </w:r>
      <w:r>
        <w:rPr>
          <w:rFonts w:hint="eastAsia" w:ascii="仿宋" w:hAnsi="仿宋" w:eastAsia="仿宋" w:cs="仿宋"/>
          <w:b w:val="0"/>
          <w:bCs w:val="0"/>
          <w:color w:val="000000"/>
          <w:sz w:val="32"/>
          <w:szCs w:val="32"/>
          <w:lang w:val="en-US" w:eastAsia="zh-CN"/>
        </w:rPr>
        <w:t>支持优秀人才集聚</w:t>
      </w:r>
      <w:r>
        <w:rPr>
          <w:rFonts w:hint="eastAsia" w:ascii="仿宋" w:hAnsi="仿宋" w:eastAsia="仿宋" w:cs="仿宋"/>
          <w:b w:val="0"/>
          <w:bCs w:val="0"/>
          <w:color w:val="000000"/>
          <w:sz w:val="32"/>
          <w:szCs w:val="32"/>
          <w:lang w:eastAsia="zh-CN"/>
        </w:rPr>
        <w:t>四</w:t>
      </w:r>
      <w:r>
        <w:rPr>
          <w:rFonts w:hint="eastAsia" w:ascii="仿宋" w:hAnsi="仿宋" w:eastAsia="仿宋" w:cs="仿宋"/>
          <w:b w:val="0"/>
          <w:bCs w:val="0"/>
          <w:color w:val="000000"/>
          <w:sz w:val="32"/>
          <w:szCs w:val="32"/>
          <w:lang w:val="en-US" w:eastAsia="zh-CN"/>
        </w:rPr>
        <w:t>个方面。</w:t>
      </w:r>
    </w:p>
    <w:p>
      <w:pPr>
        <w:pStyle w:val="3"/>
        <w:keepNext w:val="0"/>
        <w:keepLines w:val="0"/>
        <w:pageBreakBefore w:val="0"/>
        <w:widowControl w:val="0"/>
        <w:numPr>
          <w:ilvl w:val="0"/>
          <w:numId w:val="2"/>
        </w:numPr>
        <w:kinsoku/>
        <w:wordWrap/>
        <w:overflowPunct/>
        <w:topLinePunct w:val="0"/>
        <w:autoSpaceDE/>
        <w:autoSpaceDN/>
        <w:bidi w:val="0"/>
        <w:spacing w:after="0" w:line="300" w:lineRule="auto"/>
        <w:ind w:left="0" w:leftChars="0" w:firstLine="640" w:firstLineChars="200"/>
        <w:jc w:val="both"/>
        <w:textAlignment w:val="auto"/>
        <w:outlineLvl w:val="1"/>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支持重大产业项目落地</w:t>
      </w:r>
    </w:p>
    <w:p>
      <w:pPr>
        <w:spacing w:line="300" w:lineRule="auto"/>
        <w:ind w:left="0" w:leftChars="0" w:firstLine="640" w:firstLineChars="200"/>
        <w:rPr>
          <w:rFonts w:hint="eastAsia" w:ascii="仿宋" w:hAnsi="仿宋" w:eastAsia="仿宋" w:cs="仿宋"/>
          <w:b w:val="0"/>
          <w:bCs w:val="0"/>
          <w:color w:val="000000"/>
          <w:kern w:val="2"/>
          <w:sz w:val="32"/>
          <w:szCs w:val="32"/>
          <w:lang w:eastAsia="zh-CN" w:bidi="zh-CN"/>
        </w:rPr>
      </w:pPr>
      <w:r>
        <w:rPr>
          <w:rFonts w:hint="eastAsia" w:ascii="仿宋" w:hAnsi="仿宋" w:eastAsia="仿宋" w:cs="仿宋"/>
          <w:b w:val="0"/>
          <w:bCs w:val="0"/>
          <w:color w:val="000000"/>
          <w:kern w:val="2"/>
          <w:sz w:val="32"/>
          <w:szCs w:val="32"/>
          <w:lang w:eastAsia="zh-CN" w:bidi="zh-CN"/>
        </w:rPr>
        <w:t>重大产业项目是指工业企业在西部新城核心区内拿地并建设投资的项目。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leftChars="0" w:firstLine="640" w:firstLineChars="200"/>
        <w:jc w:val="both"/>
        <w:textAlignment w:val="auto"/>
        <w:rPr>
          <w:rFonts w:hint="eastAsia" w:ascii="仿宋" w:hAnsi="仿宋" w:eastAsia="仿宋" w:cs="仿宋"/>
          <w:b w:val="0"/>
          <w:bCs w:val="0"/>
          <w:color w:val="000000"/>
          <w:kern w:val="3"/>
          <w:sz w:val="32"/>
          <w:szCs w:val="32"/>
          <w:highlight w:val="none"/>
          <w:lang w:val="en-US" w:eastAsia="zh-CN"/>
        </w:rPr>
      </w:pPr>
      <w:r>
        <w:rPr>
          <w:rFonts w:hint="eastAsia" w:ascii="仿宋" w:hAnsi="仿宋" w:eastAsia="仿宋" w:cs="仿宋"/>
          <w:b w:val="0"/>
          <w:bCs w:val="0"/>
          <w:color w:val="000000"/>
          <w:kern w:val="3"/>
          <w:sz w:val="32"/>
          <w:szCs w:val="32"/>
          <w:highlight w:val="none"/>
          <w:lang w:eastAsia="zh-CN"/>
        </w:rPr>
        <w:t>1．</w:t>
      </w:r>
      <w:r>
        <w:rPr>
          <w:rFonts w:hint="eastAsia" w:ascii="仿宋" w:hAnsi="仿宋" w:eastAsia="仿宋" w:cs="仿宋"/>
          <w:b w:val="0"/>
          <w:bCs w:val="0"/>
          <w:color w:val="000000"/>
          <w:kern w:val="3"/>
          <w:sz w:val="32"/>
          <w:szCs w:val="32"/>
          <w:highlight w:val="none"/>
          <w:lang w:val="en-US" w:eastAsia="zh-CN"/>
        </w:rPr>
        <w:t>建设奖励。对重大产业项目可按计容面积给予</w:t>
      </w:r>
      <w:r>
        <w:rPr>
          <w:rFonts w:hint="eastAsia" w:ascii="仿宋" w:hAnsi="仿宋" w:eastAsia="仿宋" w:cs="仿宋"/>
          <w:b w:val="0"/>
          <w:bCs w:val="0"/>
          <w:color w:val="000000"/>
          <w:kern w:val="3"/>
          <w:sz w:val="32"/>
          <w:szCs w:val="32"/>
          <w:highlight w:val="none"/>
          <w:lang w:eastAsia="zh-CN"/>
        </w:rPr>
        <w:t>建设主体企业</w:t>
      </w:r>
      <w:r>
        <w:rPr>
          <w:rFonts w:hint="eastAsia" w:ascii="仿宋" w:hAnsi="仿宋" w:eastAsia="仿宋" w:cs="仿宋"/>
          <w:b w:val="0"/>
          <w:bCs w:val="0"/>
          <w:color w:val="000000"/>
          <w:kern w:val="3"/>
          <w:sz w:val="32"/>
          <w:szCs w:val="32"/>
          <w:highlight w:val="none"/>
          <w:lang w:val="en-US" w:eastAsia="zh-CN"/>
        </w:rPr>
        <w:t>1000元/平方米的奖励，根据施工进度按照40%、60%予以兑现。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leftChars="0" w:firstLine="640" w:firstLineChars="200"/>
        <w:jc w:val="both"/>
        <w:textAlignment w:val="auto"/>
        <w:rPr>
          <w:rFonts w:hint="eastAsia" w:ascii="仿宋" w:hAnsi="仿宋" w:eastAsia="仿宋" w:cs="仿宋"/>
          <w:b w:val="0"/>
          <w:bCs w:val="0"/>
          <w:color w:val="000000"/>
          <w:kern w:val="3"/>
          <w:sz w:val="32"/>
          <w:szCs w:val="32"/>
          <w:highlight w:val="none"/>
          <w:lang w:eastAsia="zh-CN"/>
        </w:rPr>
      </w:pPr>
      <w:r>
        <w:rPr>
          <w:rFonts w:hint="eastAsia" w:ascii="仿宋" w:hAnsi="仿宋" w:eastAsia="仿宋" w:cs="仿宋"/>
          <w:b w:val="0"/>
          <w:bCs w:val="0"/>
          <w:color w:val="000000"/>
          <w:kern w:val="3"/>
          <w:sz w:val="32"/>
          <w:szCs w:val="32"/>
          <w:highlight w:val="none"/>
          <w:lang w:eastAsia="zh-CN"/>
        </w:rPr>
        <w:t>2．</w:t>
      </w:r>
      <w:r>
        <w:rPr>
          <w:rFonts w:hint="eastAsia" w:ascii="仿宋" w:hAnsi="仿宋" w:eastAsia="仿宋" w:cs="仿宋"/>
          <w:b w:val="0"/>
          <w:bCs w:val="0"/>
          <w:color w:val="000000"/>
          <w:kern w:val="3"/>
          <w:sz w:val="32"/>
          <w:szCs w:val="32"/>
          <w:highlight w:val="none"/>
          <w:lang w:val="en-US" w:eastAsia="zh-CN"/>
        </w:rPr>
        <w:t>贡献奖励。对重大产业项目建设主体企业，以其每年度销售额的1.5%给予5年奖励（建设主体企业为鹿城区内现有企业的，按其年度销售额同比增量部分计算）</w:t>
      </w:r>
      <w:r>
        <w:rPr>
          <w:rFonts w:hint="eastAsia" w:ascii="仿宋" w:hAnsi="仿宋" w:eastAsia="仿宋" w:cs="仿宋"/>
          <w:b w:val="0"/>
          <w:bCs w:val="0"/>
          <w:color w:val="000000"/>
          <w:kern w:val="3"/>
          <w:sz w:val="32"/>
          <w:szCs w:val="32"/>
          <w:highlight w:val="none"/>
          <w:lang w:eastAsia="zh-CN"/>
        </w:rPr>
        <w:t>。</w:t>
      </w:r>
    </w:p>
    <w:p>
      <w:pPr>
        <w:pStyle w:val="2"/>
        <w:spacing w:line="300" w:lineRule="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3"/>
          <w:sz w:val="32"/>
          <w:szCs w:val="32"/>
          <w:highlight w:val="none"/>
          <w:lang w:eastAsia="zh-CN"/>
        </w:rPr>
        <w:t xml:space="preserve">    </w:t>
      </w:r>
      <w:r>
        <w:rPr>
          <w:rFonts w:hint="eastAsia" w:ascii="仿宋" w:hAnsi="仿宋" w:eastAsia="仿宋" w:cs="仿宋"/>
          <w:b w:val="0"/>
          <w:bCs w:val="0"/>
          <w:color w:val="000000"/>
          <w:kern w:val="3"/>
          <w:sz w:val="32"/>
          <w:szCs w:val="32"/>
          <w:highlight w:val="none"/>
          <w:lang w:eastAsia="zh-CN" w:bidi="ar-SA"/>
        </w:rPr>
        <w:t>3. 建筑品质奖励。对</w:t>
      </w:r>
      <w:r>
        <w:rPr>
          <w:rFonts w:hint="eastAsia" w:ascii="仿宋" w:hAnsi="仿宋" w:eastAsia="仿宋" w:cs="仿宋"/>
          <w:b w:val="0"/>
          <w:bCs w:val="0"/>
          <w:color w:val="000000"/>
          <w:kern w:val="3"/>
          <w:sz w:val="32"/>
          <w:szCs w:val="32"/>
          <w:highlight w:val="none"/>
          <w:lang w:val="en-US" w:eastAsia="zh-CN" w:bidi="ar-SA"/>
        </w:rPr>
        <w:t>重大产业项目建设主体企业建筑外立面、室外景观等分项的投资额高于《温州市重点区域项目建设品质提升导则（试行版）》一档造价标准</w:t>
      </w:r>
      <w:r>
        <w:rPr>
          <w:rFonts w:hint="eastAsia" w:ascii="仿宋" w:hAnsi="仿宋" w:eastAsia="仿宋" w:cs="仿宋"/>
          <w:b w:val="0"/>
          <w:bCs w:val="0"/>
          <w:color w:val="000000"/>
          <w:kern w:val="3"/>
          <w:sz w:val="32"/>
          <w:szCs w:val="32"/>
          <w:highlight w:val="none"/>
          <w:lang w:eastAsia="zh-CN" w:bidi="ar-SA"/>
        </w:rPr>
        <w:t>的部分给予支持。</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left="0" w:leftChars="0" w:firstLine="640" w:firstLineChars="200"/>
        <w:jc w:val="both"/>
        <w:textAlignment w:val="auto"/>
        <w:rPr>
          <w:rFonts w:hint="eastAsia" w:ascii="仿宋" w:hAnsi="仿宋" w:eastAsia="仿宋" w:cs="仿宋"/>
          <w:b w:val="0"/>
          <w:bCs w:val="0"/>
          <w:color w:val="000000"/>
          <w:kern w:val="3"/>
          <w:sz w:val="32"/>
          <w:szCs w:val="32"/>
          <w:highlight w:val="none"/>
          <w:lang w:val="en-US" w:eastAsia="zh-CN"/>
        </w:rPr>
      </w:pPr>
      <w:r>
        <w:rPr>
          <w:rFonts w:hint="eastAsia" w:ascii="仿宋" w:hAnsi="仿宋" w:eastAsia="仿宋" w:cs="仿宋"/>
          <w:b w:val="0"/>
          <w:bCs w:val="0"/>
          <w:color w:val="000000"/>
          <w:kern w:val="3"/>
          <w:sz w:val="32"/>
          <w:szCs w:val="32"/>
          <w:highlight w:val="none"/>
          <w:lang w:eastAsia="zh-CN"/>
        </w:rPr>
        <w:t>4．</w:t>
      </w:r>
      <w:r>
        <w:rPr>
          <w:rFonts w:hint="eastAsia" w:ascii="仿宋" w:hAnsi="仿宋" w:eastAsia="仿宋" w:cs="仿宋"/>
          <w:b w:val="0"/>
          <w:bCs w:val="0"/>
          <w:color w:val="000000"/>
          <w:kern w:val="3"/>
          <w:sz w:val="32"/>
          <w:szCs w:val="32"/>
          <w:highlight w:val="none"/>
          <w:lang w:val="en-US" w:eastAsia="zh-CN"/>
        </w:rPr>
        <w:t>转让权益。</w:t>
      </w:r>
      <w:r>
        <w:rPr>
          <w:rFonts w:hint="eastAsia" w:ascii="仿宋" w:hAnsi="仿宋" w:eastAsia="仿宋" w:cs="仿宋"/>
          <w:b w:val="0"/>
          <w:bCs w:val="0"/>
          <w:color w:val="000000"/>
          <w:kern w:val="3"/>
          <w:sz w:val="32"/>
          <w:szCs w:val="32"/>
          <w:highlight w:val="none"/>
          <w:lang w:eastAsia="zh-CN"/>
        </w:rPr>
        <w:t>对重大产业项目自持比例、自持时限、分割转让等给予支持。</w:t>
      </w:r>
    </w:p>
    <w:p>
      <w:pPr>
        <w:pStyle w:val="5"/>
        <w:keepNext w:val="0"/>
        <w:keepLines w:val="0"/>
        <w:pageBreakBefore w:val="0"/>
        <w:widowControl w:val="0"/>
        <w:numPr>
          <w:ilvl w:val="0"/>
          <w:numId w:val="3"/>
        </w:numPr>
        <w:kinsoku/>
        <w:wordWrap/>
        <w:overflowPunct/>
        <w:topLinePunct w:val="0"/>
        <w:autoSpaceDE/>
        <w:autoSpaceDN/>
        <w:bidi w:val="0"/>
        <w:spacing w:line="300" w:lineRule="auto"/>
        <w:ind w:left="0" w:leftChars="0" w:firstLine="640" w:firstLineChars="200"/>
        <w:jc w:val="both"/>
        <w:textAlignment w:val="auto"/>
        <w:outlineLvl w:val="1"/>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支持优质企业置业落户</w:t>
      </w:r>
    </w:p>
    <w:p>
      <w:pPr>
        <w:pStyle w:val="11"/>
        <w:keepNext w:val="0"/>
        <w:keepLines w:val="0"/>
        <w:pageBreakBefore w:val="0"/>
        <w:numPr>
          <w:ilvl w:val="0"/>
          <w:numId w:val="4"/>
        </w:numPr>
        <w:kinsoku/>
        <w:overflowPunct/>
        <w:topLinePunct w:val="0"/>
        <w:autoSpaceDE/>
        <w:autoSpaceDN/>
        <w:bidi w:val="0"/>
        <w:adjustRightInd/>
        <w:snapToGrid/>
        <w:spacing w:line="300" w:lineRule="auto"/>
        <w:ind w:left="0" w:leftChars="0" w:firstLine="640" w:firstLineChars="200"/>
        <w:jc w:val="both"/>
        <w:textAlignment w:val="auto"/>
        <w:rPr>
          <w:rFonts w:hint="eastAsia" w:ascii="仿宋" w:hAnsi="仿宋" w:eastAsia="仿宋" w:cs="仿宋"/>
          <w:b w:val="0"/>
          <w:bCs w:val="0"/>
          <w:color w:val="000000"/>
          <w:kern w:val="3"/>
          <w:sz w:val="32"/>
          <w:szCs w:val="32"/>
          <w:highlight w:val="none"/>
          <w:lang w:val="en-US" w:eastAsia="zh-CN"/>
        </w:rPr>
      </w:pPr>
      <w:r>
        <w:rPr>
          <w:rFonts w:hint="eastAsia" w:ascii="仿宋" w:hAnsi="仿宋" w:eastAsia="仿宋" w:cs="仿宋"/>
          <w:b w:val="0"/>
          <w:bCs w:val="0"/>
          <w:color w:val="000000"/>
          <w:kern w:val="3"/>
          <w:sz w:val="32"/>
          <w:szCs w:val="32"/>
          <w:highlight w:val="none"/>
          <w:lang w:val="en-US" w:eastAsia="zh-CN"/>
        </w:rPr>
        <w:t>置业奖励。对在区域内首次置业落户的，</w:t>
      </w:r>
      <w:r>
        <w:rPr>
          <w:rFonts w:hint="eastAsia" w:ascii="仿宋_GB2312" w:hAnsi="仿宋_GB2312" w:eastAsia="仿宋_GB2312" w:cs="仿宋_GB2312"/>
          <w:b w:val="0"/>
          <w:bCs/>
          <w:color w:val="000000"/>
          <w:kern w:val="3"/>
          <w:sz w:val="32"/>
          <w:szCs w:val="32"/>
          <w:highlight w:val="none"/>
          <w:lang w:val="en-US" w:eastAsia="zh-CN"/>
        </w:rPr>
        <w:t>以其年度销售额的一定比例给予5年奖励</w:t>
      </w:r>
      <w:r>
        <w:rPr>
          <w:rFonts w:hint="eastAsia" w:ascii="仿宋" w:hAnsi="仿宋" w:eastAsia="仿宋" w:cs="仿宋"/>
          <w:b w:val="0"/>
          <w:bCs w:val="0"/>
          <w:color w:val="000000"/>
          <w:kern w:val="3"/>
          <w:sz w:val="32"/>
          <w:szCs w:val="32"/>
          <w:highlight w:val="none"/>
          <w:lang w:val="en-US" w:eastAsia="zh-CN"/>
        </w:rPr>
        <w:t>（对鹿城区内优质企业置业的，按其年度销售额同比增量部分计算）</w:t>
      </w:r>
      <w:r>
        <w:rPr>
          <w:rFonts w:hint="eastAsia" w:ascii="仿宋" w:hAnsi="仿宋" w:eastAsia="仿宋" w:cs="仿宋"/>
          <w:b w:val="0"/>
          <w:bCs w:val="0"/>
          <w:color w:val="000000"/>
          <w:kern w:val="3"/>
          <w:sz w:val="32"/>
          <w:szCs w:val="32"/>
          <w:highlight w:val="none"/>
          <w:lang w:eastAsia="zh-CN"/>
        </w:rPr>
        <w:t>。</w:t>
      </w:r>
      <w:r>
        <w:rPr>
          <w:rFonts w:hint="eastAsia" w:ascii="仿宋" w:hAnsi="仿宋" w:eastAsia="仿宋" w:cs="仿宋"/>
          <w:b w:val="0"/>
          <w:bCs w:val="0"/>
          <w:color w:val="000000"/>
          <w:sz w:val="32"/>
          <w:szCs w:val="32"/>
          <w:highlight w:val="none"/>
          <w:lang w:val="en-US" w:eastAsia="zh-CN"/>
        </w:rPr>
        <w:t>重大产业项目</w:t>
      </w:r>
      <w:r>
        <w:rPr>
          <w:rFonts w:hint="default" w:ascii="仿宋" w:hAnsi="仿宋" w:eastAsia="仿宋" w:cs="仿宋"/>
          <w:b w:val="0"/>
          <w:bCs w:val="0"/>
          <w:color w:val="000000"/>
          <w:sz w:val="32"/>
          <w:szCs w:val="32"/>
          <w:highlight w:val="none"/>
          <w:lang w:eastAsia="zh-CN"/>
        </w:rPr>
        <w:t>非自持部分</w:t>
      </w:r>
      <w:r>
        <w:rPr>
          <w:rFonts w:hint="eastAsia" w:ascii="仿宋" w:hAnsi="仿宋" w:eastAsia="仿宋" w:cs="仿宋"/>
          <w:b w:val="0"/>
          <w:bCs w:val="0"/>
          <w:color w:val="000000"/>
          <w:kern w:val="3"/>
          <w:sz w:val="32"/>
          <w:szCs w:val="32"/>
          <w:highlight w:val="none"/>
          <w:lang w:val="en-US" w:eastAsia="zh-CN"/>
        </w:rPr>
        <w:t>若转让单价不低于市场评估标准</w:t>
      </w:r>
      <w:r>
        <w:rPr>
          <w:rFonts w:hint="default" w:ascii="仿宋" w:hAnsi="仿宋" w:eastAsia="仿宋" w:cs="仿宋"/>
          <w:b w:val="0"/>
          <w:bCs w:val="0"/>
          <w:color w:val="000000"/>
          <w:kern w:val="3"/>
          <w:sz w:val="32"/>
          <w:szCs w:val="32"/>
          <w:highlight w:val="none"/>
          <w:lang w:eastAsia="zh-CN"/>
        </w:rPr>
        <w:t>的</w:t>
      </w:r>
      <w:r>
        <w:rPr>
          <w:rFonts w:hint="eastAsia" w:ascii="仿宋" w:hAnsi="仿宋" w:eastAsia="仿宋" w:cs="仿宋"/>
          <w:b w:val="0"/>
          <w:bCs w:val="0"/>
          <w:color w:val="000000"/>
          <w:kern w:val="3"/>
          <w:sz w:val="32"/>
          <w:szCs w:val="32"/>
          <w:highlight w:val="none"/>
          <w:lang w:val="en-US" w:eastAsia="zh-CN"/>
        </w:rPr>
        <w:t>，其转让对象可享受置业奖励，二次转让不再享受该奖励。</w:t>
      </w:r>
    </w:p>
    <w:p>
      <w:pPr>
        <w:numPr>
          <w:ilvl w:val="0"/>
          <w:numId w:val="4"/>
        </w:numPr>
        <w:spacing w:line="300" w:lineRule="auto"/>
        <w:ind w:left="0" w:leftChars="0" w:firstLine="640" w:firstLineChars="200"/>
        <w:rPr>
          <w:rFonts w:hint="eastAsia" w:ascii="仿宋" w:hAnsi="仿宋" w:eastAsia="仿宋" w:cs="仿宋"/>
          <w:b w:val="0"/>
          <w:bCs w:val="0"/>
          <w:strike w:val="0"/>
          <w:dstrike w:val="0"/>
          <w:color w:val="000000"/>
          <w:sz w:val="32"/>
          <w:szCs w:val="32"/>
          <w:highlight w:val="none"/>
          <w:lang w:eastAsia="zh-CN"/>
        </w:rPr>
      </w:pPr>
      <w:r>
        <w:rPr>
          <w:rFonts w:hint="eastAsia" w:ascii="仿宋" w:hAnsi="仿宋" w:eastAsia="仿宋" w:cs="仿宋"/>
          <w:b w:val="0"/>
          <w:bCs w:val="0"/>
          <w:color w:val="000000"/>
          <w:sz w:val="32"/>
          <w:szCs w:val="32"/>
          <w:highlight w:val="none"/>
          <w:lang w:val="en-US" w:eastAsia="zh-CN"/>
        </w:rPr>
        <w:t>租赁补助。</w:t>
      </w:r>
      <w:r>
        <w:rPr>
          <w:rFonts w:hint="eastAsia" w:ascii="仿宋" w:hAnsi="仿宋" w:eastAsia="仿宋" w:cs="仿宋"/>
          <w:b w:val="0"/>
          <w:bCs w:val="0"/>
          <w:color w:val="000000"/>
          <w:kern w:val="3"/>
          <w:sz w:val="32"/>
          <w:szCs w:val="32"/>
          <w:highlight w:val="none"/>
          <w:lang w:val="en-US" w:eastAsia="zh-CN"/>
        </w:rPr>
        <w:t>对优质企业或商会类机构在区域内首次租赁落户的，对其租用自用的办公用房，</w:t>
      </w:r>
      <w:r>
        <w:rPr>
          <w:rFonts w:hint="eastAsia" w:ascii="仿宋" w:hAnsi="仿宋" w:eastAsia="仿宋" w:cs="仿宋"/>
          <w:b w:val="0"/>
          <w:bCs w:val="0"/>
          <w:strike w:val="0"/>
          <w:dstrike w:val="0"/>
          <w:color w:val="000000"/>
          <w:sz w:val="32"/>
          <w:szCs w:val="32"/>
          <w:highlight w:val="none"/>
          <w:lang w:val="en-US" w:eastAsia="zh-CN"/>
        </w:rPr>
        <w:t>五年内给予租金补助，按前两年100%，后三年50%补助</w:t>
      </w:r>
      <w:r>
        <w:rPr>
          <w:rFonts w:hint="eastAsia" w:ascii="仿宋" w:hAnsi="仿宋" w:eastAsia="仿宋" w:cs="仿宋"/>
          <w:b w:val="0"/>
          <w:bCs w:val="0"/>
          <w:strike w:val="0"/>
          <w:dstrike w:val="0"/>
          <w:color w:val="000000"/>
          <w:sz w:val="32"/>
          <w:szCs w:val="32"/>
          <w:highlight w:val="none"/>
          <w:lang w:eastAsia="zh-CN"/>
        </w:rPr>
        <w:t>。</w:t>
      </w:r>
    </w:p>
    <w:p>
      <w:pPr>
        <w:pStyle w:val="2"/>
        <w:numPr>
          <w:ilvl w:val="0"/>
          <w:numId w:val="4"/>
        </w:numPr>
        <w:spacing w:line="300" w:lineRule="auto"/>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trike w:val="0"/>
          <w:dstrike w:val="0"/>
          <w:color w:val="000000"/>
          <w:sz w:val="32"/>
          <w:szCs w:val="32"/>
          <w:highlight w:val="none"/>
          <w:lang w:val="en-US" w:eastAsia="zh-CN"/>
        </w:rPr>
        <w:t>落户奖励。对新落户的总部企业</w:t>
      </w:r>
      <w:r>
        <w:rPr>
          <w:rFonts w:hint="eastAsia" w:ascii="仿宋" w:hAnsi="仿宋" w:eastAsia="仿宋" w:cs="仿宋"/>
          <w:b w:val="0"/>
          <w:bCs w:val="0"/>
          <w:strike w:val="0"/>
          <w:dstrike w:val="0"/>
          <w:color w:val="000000"/>
          <w:sz w:val="32"/>
          <w:szCs w:val="32"/>
          <w:highlight w:val="none"/>
          <w:lang w:eastAsia="zh-CN"/>
        </w:rPr>
        <w:t>，根据《总部经济》落户奖标准执行。</w:t>
      </w:r>
    </w:p>
    <w:p>
      <w:pPr>
        <w:pStyle w:val="3"/>
        <w:keepNext w:val="0"/>
        <w:keepLines w:val="0"/>
        <w:pageBreakBefore w:val="0"/>
        <w:widowControl w:val="0"/>
        <w:numPr>
          <w:ilvl w:val="0"/>
          <w:numId w:val="5"/>
        </w:numPr>
        <w:kinsoku/>
        <w:wordWrap/>
        <w:overflowPunct/>
        <w:topLinePunct w:val="0"/>
        <w:autoSpaceDE/>
        <w:autoSpaceDN/>
        <w:bidi w:val="0"/>
        <w:adjustRightInd/>
        <w:snapToGrid/>
        <w:spacing w:after="0" w:line="300" w:lineRule="auto"/>
        <w:ind w:left="0" w:leftChars="0" w:firstLine="640" w:firstLineChars="200"/>
        <w:jc w:val="both"/>
        <w:textAlignment w:val="auto"/>
        <w:outlineLvl w:val="1"/>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eastAsia="zh-CN"/>
        </w:rPr>
        <w:t>支持温商回归</w:t>
      </w:r>
    </w:p>
    <w:p>
      <w:pPr>
        <w:keepNext w:val="0"/>
        <w:keepLines w:val="0"/>
        <w:widowControl w:val="0"/>
        <w:suppressLineNumbers w:val="0"/>
        <w:autoSpaceDE w:val="0"/>
        <w:autoSpaceDN/>
        <w:spacing w:before="0" w:beforeAutospacing="0" w:after="0" w:afterAutospacing="0" w:line="300" w:lineRule="auto"/>
        <w:ind w:left="0" w:right="0" w:firstLine="640" w:firstLineChars="200"/>
        <w:jc w:val="both"/>
        <w:rPr>
          <w:rFonts w:hint="eastAsia" w:ascii="仿宋" w:hAnsi="仿宋" w:eastAsia="仿宋" w:cs="仿宋"/>
          <w:b w:val="0"/>
          <w:bCs w:val="0"/>
          <w:color w:val="000000"/>
          <w:sz w:val="32"/>
          <w:szCs w:val="32"/>
          <w:lang w:val="en-US" w:eastAsia="zh-CN"/>
        </w:rPr>
      </w:pPr>
      <w:r>
        <w:rPr>
          <w:rFonts w:hint="default" w:ascii="仿宋" w:hAnsi="仿宋" w:eastAsia="仿宋" w:cs="仿宋"/>
          <w:b w:val="0"/>
          <w:bCs w:val="0"/>
          <w:color w:val="000000"/>
          <w:kern w:val="2"/>
          <w:sz w:val="32"/>
          <w:szCs w:val="32"/>
          <w:lang w:eastAsia="zh-CN" w:bidi="ar"/>
        </w:rPr>
        <w:t xml:space="preserve">8. </w:t>
      </w:r>
      <w:r>
        <w:rPr>
          <w:rFonts w:hint="eastAsia" w:ascii="仿宋" w:hAnsi="仿宋" w:eastAsia="仿宋" w:cs="仿宋"/>
          <w:b w:val="0"/>
          <w:bCs w:val="0"/>
          <w:color w:val="000000"/>
          <w:kern w:val="2"/>
          <w:sz w:val="32"/>
          <w:szCs w:val="32"/>
          <w:lang w:val="en-US" w:eastAsia="zh-CN" w:bidi="ar"/>
        </w:rPr>
        <w:t>招引奖励。落户西部新城的商会类机构或温商成功引入鹿城区外企业落地</w:t>
      </w:r>
      <w:r>
        <w:rPr>
          <w:rFonts w:hint="eastAsia" w:ascii="仿宋" w:hAnsi="仿宋" w:eastAsia="仿宋" w:cs="仿宋"/>
          <w:b w:val="0"/>
          <w:bCs w:val="0"/>
          <w:color w:val="000000"/>
          <w:kern w:val="2"/>
          <w:sz w:val="32"/>
          <w:szCs w:val="32"/>
          <w:lang w:eastAsia="zh-CN" w:bidi="ar"/>
        </w:rPr>
        <w:t>的</w:t>
      </w:r>
      <w:r>
        <w:rPr>
          <w:rFonts w:hint="eastAsia" w:ascii="仿宋" w:hAnsi="仿宋" w:eastAsia="仿宋" w:cs="仿宋"/>
          <w:b w:val="0"/>
          <w:bCs w:val="0"/>
          <w:color w:val="000000"/>
          <w:kern w:val="2"/>
          <w:sz w:val="32"/>
          <w:szCs w:val="32"/>
          <w:lang w:val="en-US" w:eastAsia="zh-CN" w:bidi="ar"/>
        </w:rPr>
        <w:t>，可按照其新引进落地企业落户当年形成的销售额的一定比例给予奖励</w:t>
      </w:r>
      <w:r>
        <w:rPr>
          <w:rFonts w:hint="eastAsia" w:ascii="仿宋" w:hAnsi="仿宋" w:eastAsia="仿宋" w:cs="仿宋"/>
          <w:b w:val="0"/>
          <w:bCs w:val="0"/>
          <w:color w:val="000000"/>
          <w:kern w:val="2"/>
          <w:sz w:val="32"/>
          <w:szCs w:val="32"/>
          <w:lang w:eastAsia="zh-CN" w:bidi="ar"/>
        </w:rPr>
        <w:t>。</w:t>
      </w:r>
    </w:p>
    <w:p>
      <w:pPr>
        <w:pStyle w:val="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after="0" w:line="300" w:lineRule="auto"/>
        <w:ind w:leftChars="200" w:firstLine="0" w:firstLineChars="0"/>
        <w:jc w:val="both"/>
        <w:textAlignment w:val="auto"/>
        <w:outlineLvl w:val="1"/>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highlight w:val="none"/>
          <w:lang w:eastAsia="zh-CN"/>
        </w:rPr>
        <w:t>　（四）</w:t>
      </w:r>
      <w:r>
        <w:rPr>
          <w:rFonts w:hint="eastAsia" w:ascii="仿宋" w:hAnsi="仿宋" w:eastAsia="仿宋" w:cs="仿宋"/>
          <w:b w:val="0"/>
          <w:bCs w:val="0"/>
          <w:color w:val="000000"/>
          <w:sz w:val="32"/>
          <w:szCs w:val="32"/>
          <w:highlight w:val="none"/>
          <w:lang w:val="en-US" w:eastAsia="zh-CN"/>
        </w:rPr>
        <w:t>支持优秀人才集聚</w:t>
      </w:r>
    </w:p>
    <w:p>
      <w:pPr>
        <w:keepNext w:val="0"/>
        <w:keepLines w:val="0"/>
        <w:widowControl w:val="0"/>
        <w:numPr>
          <w:ilvl w:val="-1"/>
          <w:numId w:val="0"/>
        </w:numPr>
        <w:suppressLineNumbers w:val="0"/>
        <w:autoSpaceDE/>
        <w:autoSpaceDN/>
        <w:spacing w:before="0" w:beforeAutospacing="0" w:after="0" w:afterAutospacing="0" w:line="300" w:lineRule="auto"/>
        <w:ind w:left="0" w:leftChars="0" w:right="0" w:rightChars="0" w:firstLine="640" w:firstLineChars="200"/>
        <w:jc w:val="both"/>
        <w:outlineLvl w:val="9"/>
        <w:rPr>
          <w:rFonts w:hint="eastAsia" w:ascii="仿宋" w:hAnsi="仿宋" w:eastAsia="仿宋" w:cs="仿宋"/>
          <w:b w:val="0"/>
          <w:bCs w:val="0"/>
          <w:color w:val="000000"/>
          <w:sz w:val="32"/>
          <w:szCs w:val="32"/>
          <w:highlight w:val="none"/>
          <w:lang w:eastAsia="zh-CN"/>
        </w:rPr>
      </w:pPr>
      <w:r>
        <w:rPr>
          <w:rFonts w:hint="eastAsia" w:ascii="仿宋" w:hAnsi="仿宋" w:eastAsia="仿宋" w:cs="仿宋"/>
          <w:b w:val="0"/>
          <w:bCs w:val="0"/>
          <w:color w:val="000000"/>
          <w:sz w:val="32"/>
          <w:szCs w:val="32"/>
          <w:highlight w:val="none"/>
          <w:lang w:eastAsia="zh-CN"/>
        </w:rPr>
        <w:t>9．高管奖励。</w:t>
      </w:r>
      <w:r>
        <w:rPr>
          <w:rFonts w:hint="eastAsia" w:ascii="仿宋" w:hAnsi="仿宋" w:eastAsia="仿宋" w:cs="仿宋"/>
          <w:b w:val="0"/>
          <w:bCs w:val="0"/>
          <w:color w:val="000000"/>
          <w:sz w:val="32"/>
          <w:szCs w:val="32"/>
          <w:highlight w:val="none"/>
          <w:lang w:val="en-US" w:eastAsia="zh-CN"/>
        </w:rPr>
        <w:t>总部企业高管（限5人）5年内，按其每年从公司获得的年薪超过50万部分给予7%奖励。</w:t>
      </w:r>
    </w:p>
    <w:p>
      <w:pPr>
        <w:pStyle w:val="2"/>
        <w:spacing w:line="300" w:lineRule="auto"/>
        <w:rPr>
          <w:rFonts w:hint="eastAsia" w:ascii="仿宋" w:hAnsi="仿宋" w:eastAsia="仿宋" w:cs="仿宋"/>
          <w:b w:val="0"/>
          <w:bCs w:val="0"/>
          <w:color w:val="000000"/>
          <w:kern w:val="2"/>
          <w:sz w:val="32"/>
          <w:szCs w:val="32"/>
          <w:shd w:val="clear" w:color="auto" w:fill="auto"/>
          <w:lang w:val="en-US" w:eastAsia="zh-CN" w:bidi="ar-SA"/>
        </w:rPr>
      </w:pPr>
      <w:r>
        <w:rPr>
          <w:rFonts w:hint="eastAsia" w:ascii="仿宋" w:hAnsi="仿宋" w:eastAsia="仿宋" w:cs="仿宋"/>
          <w:b w:val="0"/>
          <w:bCs w:val="0"/>
          <w:color w:val="000000"/>
          <w:sz w:val="32"/>
          <w:szCs w:val="32"/>
          <w:highlight w:val="none"/>
          <w:lang w:eastAsia="zh-CN"/>
        </w:rPr>
        <w:t xml:space="preserve">    10.</w:t>
      </w:r>
      <w:r>
        <w:rPr>
          <w:rFonts w:hint="default" w:ascii="仿宋" w:hAnsi="仿宋" w:eastAsia="仿宋" w:cs="仿宋"/>
          <w:b w:val="0"/>
          <w:bCs w:val="0"/>
          <w:color w:val="000000"/>
          <w:sz w:val="32"/>
          <w:szCs w:val="32"/>
          <w:highlight w:val="none"/>
          <w:lang w:eastAsia="zh-CN"/>
        </w:rPr>
        <w:t xml:space="preserve"> </w:t>
      </w:r>
      <w:r>
        <w:rPr>
          <w:rFonts w:hint="eastAsia" w:ascii="仿宋" w:hAnsi="仿宋" w:eastAsia="仿宋" w:cs="仿宋"/>
          <w:b w:val="0"/>
          <w:bCs w:val="0"/>
          <w:color w:val="000000"/>
          <w:sz w:val="32"/>
          <w:szCs w:val="32"/>
          <w:highlight w:val="none"/>
          <w:lang w:val="en-US" w:eastAsia="zh-CN"/>
        </w:rPr>
        <w:t>子女入学支持。</w:t>
      </w:r>
      <w:r>
        <w:rPr>
          <w:rFonts w:hint="eastAsia" w:ascii="仿宋" w:hAnsi="仿宋" w:eastAsia="仿宋" w:cs="仿宋"/>
          <w:b w:val="0"/>
          <w:bCs w:val="0"/>
          <w:color w:val="000000"/>
          <w:kern w:val="2"/>
          <w:sz w:val="32"/>
          <w:szCs w:val="32"/>
          <w:lang w:eastAsia="zh-CN" w:bidi="ar"/>
        </w:rPr>
        <w:t>对于落地西部新城的人才，给予其子女</w:t>
      </w:r>
      <w:r>
        <w:rPr>
          <w:rFonts w:hint="eastAsia" w:ascii="仿宋" w:hAnsi="仿宋" w:eastAsia="仿宋" w:cs="仿宋"/>
          <w:b w:val="0"/>
          <w:bCs w:val="0"/>
          <w:color w:val="000000"/>
          <w:sz w:val="32"/>
          <w:szCs w:val="32"/>
          <w:highlight w:val="none"/>
          <w:lang w:val="en-US" w:eastAsia="zh-CN"/>
        </w:rPr>
        <w:t>在学前和义务教育阶段</w:t>
      </w:r>
      <w:r>
        <w:rPr>
          <w:rFonts w:hint="eastAsia" w:ascii="仿宋" w:hAnsi="仿宋" w:eastAsia="仿宋" w:cs="仿宋"/>
          <w:b w:val="0"/>
          <w:bCs w:val="0"/>
          <w:color w:val="000000"/>
          <w:sz w:val="32"/>
          <w:szCs w:val="32"/>
          <w:highlight w:val="none"/>
          <w:lang w:eastAsia="zh-CN"/>
        </w:rPr>
        <w:t>就学支持。</w:t>
      </w:r>
    </w:p>
    <w:p>
      <w:pPr>
        <w:keepNext w:val="0"/>
        <w:keepLines w:val="0"/>
        <w:pageBreakBefore w:val="0"/>
        <w:widowControl w:val="0"/>
        <w:kinsoku/>
        <w:wordWrap/>
        <w:overflowPunct/>
        <w:topLinePunct w:val="0"/>
        <w:autoSpaceDE/>
        <w:autoSpaceDN/>
        <w:bidi w:val="0"/>
        <w:adjustRightInd/>
        <w:spacing w:line="300" w:lineRule="auto"/>
        <w:ind w:firstLine="640" w:firstLineChars="200"/>
        <w:textAlignment w:val="auto"/>
        <w:outlineLvl w:val="9"/>
        <w:rPr>
          <w:rFonts w:hint="eastAsia" w:ascii="仿宋" w:hAnsi="仿宋" w:eastAsia="仿宋" w:cs="仿宋"/>
          <w:b w:val="0"/>
          <w:bCs w:val="0"/>
          <w:color w:val="000000"/>
          <w:sz w:val="32"/>
          <w:szCs w:val="32"/>
          <w:highlight w:val="none"/>
          <w:lang w:eastAsia="zh-CN"/>
        </w:rPr>
      </w:pPr>
      <w:r>
        <w:rPr>
          <w:rFonts w:hint="eastAsia" w:ascii="楷体" w:hAnsi="楷体" w:eastAsia="楷体" w:cs="楷体"/>
          <w:b w:val="0"/>
          <w:bCs w:val="0"/>
          <w:color w:val="000000"/>
          <w:kern w:val="2"/>
          <w:sz w:val="32"/>
          <w:szCs w:val="32"/>
          <w:shd w:val="clear" w:color="auto" w:fill="auto"/>
          <w:lang w:val="en-US" w:eastAsia="zh-CN" w:bidi="ar-SA"/>
        </w:rPr>
        <w:t>第三部分为附则。</w:t>
      </w:r>
      <w:r>
        <w:rPr>
          <w:rFonts w:hint="eastAsia" w:ascii="仿宋" w:hAnsi="仿宋" w:eastAsia="仿宋" w:cs="仿宋"/>
          <w:b w:val="0"/>
          <w:bCs w:val="0"/>
          <w:color w:val="000000"/>
          <w:kern w:val="2"/>
          <w:sz w:val="32"/>
          <w:szCs w:val="32"/>
          <w:shd w:val="clear" w:color="auto" w:fill="auto"/>
          <w:lang w:val="en-US" w:eastAsia="zh-CN" w:bidi="ar-SA"/>
        </w:rPr>
        <w:t>主要对政策</w:t>
      </w:r>
      <w:r>
        <w:rPr>
          <w:rFonts w:hint="eastAsia" w:ascii="仿宋" w:hAnsi="仿宋" w:eastAsia="仿宋" w:cs="仿宋"/>
          <w:b w:val="0"/>
          <w:bCs w:val="0"/>
          <w:color w:val="000000"/>
          <w:sz w:val="32"/>
          <w:szCs w:val="32"/>
          <w:highlight w:val="none"/>
          <w:lang w:val="en-US" w:eastAsia="zh-CN"/>
        </w:rPr>
        <w:t>适用主体</w:t>
      </w:r>
      <w:r>
        <w:rPr>
          <w:rFonts w:hint="eastAsia" w:ascii="仿宋" w:hAnsi="仿宋" w:eastAsia="仿宋" w:cs="仿宋"/>
          <w:b w:val="0"/>
          <w:bCs w:val="0"/>
          <w:color w:val="000000"/>
          <w:kern w:val="2"/>
          <w:sz w:val="32"/>
          <w:szCs w:val="32"/>
          <w:shd w:val="clear" w:color="auto" w:fill="auto"/>
          <w:lang w:eastAsia="zh-CN" w:bidi="ar-SA"/>
        </w:rPr>
        <w:t>，</w:t>
      </w:r>
      <w:r>
        <w:rPr>
          <w:rFonts w:hint="eastAsia" w:ascii="仿宋" w:hAnsi="仿宋" w:eastAsia="仿宋" w:cs="仿宋"/>
          <w:b w:val="0"/>
          <w:bCs w:val="0"/>
          <w:color w:val="000000"/>
          <w:sz w:val="32"/>
          <w:szCs w:val="32"/>
          <w:highlight w:val="none"/>
          <w:lang w:val="en-US" w:eastAsia="zh-CN"/>
        </w:rPr>
        <w:t>奖励要求</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区域内重大产业项目</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auto"/>
          <w:kern w:val="0"/>
          <w:sz w:val="32"/>
          <w:szCs w:val="32"/>
          <w:highlight w:val="none"/>
          <w:lang w:eastAsia="zh-CN" w:bidi="ar-SA"/>
        </w:rPr>
        <w:t>优质企业，贡献奖励和置业奖励限额，建筑品质奖励限额，</w:t>
      </w:r>
      <w:r>
        <w:rPr>
          <w:rFonts w:hint="eastAsia" w:ascii="仿宋" w:hAnsi="仿宋" w:eastAsia="仿宋" w:cs="仿宋"/>
          <w:b w:val="0"/>
          <w:bCs w:val="0"/>
          <w:color w:val="000000"/>
          <w:kern w:val="2"/>
          <w:sz w:val="32"/>
          <w:szCs w:val="32"/>
          <w:highlight w:val="none"/>
          <w:lang w:val="en-US" w:eastAsia="zh-CN" w:bidi="ar-SA"/>
        </w:rPr>
        <w:t>分割转让单价</w:t>
      </w:r>
      <w:r>
        <w:rPr>
          <w:rFonts w:hint="eastAsia" w:ascii="仿宋" w:hAnsi="仿宋" w:eastAsia="仿宋" w:cs="仿宋"/>
          <w:b w:val="0"/>
          <w:bCs w:val="0"/>
          <w:color w:val="000000"/>
          <w:kern w:val="2"/>
          <w:sz w:val="32"/>
          <w:szCs w:val="32"/>
          <w:highlight w:val="none"/>
          <w:lang w:eastAsia="zh-CN" w:bidi="ar-SA"/>
        </w:rPr>
        <w:t>，</w:t>
      </w:r>
      <w:r>
        <w:rPr>
          <w:rFonts w:hint="eastAsia" w:ascii="仿宋" w:hAnsi="仿宋" w:eastAsia="仿宋" w:cs="仿宋"/>
          <w:b w:val="0"/>
          <w:bCs w:val="0"/>
          <w:color w:val="000000"/>
          <w:sz w:val="32"/>
          <w:szCs w:val="32"/>
          <w:highlight w:val="none"/>
          <w:lang w:val="en-US" w:eastAsia="zh-CN"/>
        </w:rPr>
        <w:t>区内企业年度销售额口径</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政策适用对象</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落地服务</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kern w:val="0"/>
          <w:sz w:val="32"/>
          <w:szCs w:val="32"/>
          <w:highlight w:val="none"/>
          <w:lang w:val="en-US" w:eastAsia="zh-CN" w:bidi="ar"/>
        </w:rPr>
        <w:t>一事一议</w:t>
      </w:r>
      <w:r>
        <w:rPr>
          <w:rFonts w:hint="eastAsia" w:ascii="仿宋" w:hAnsi="仿宋" w:eastAsia="仿宋" w:cs="仿宋"/>
          <w:b w:val="0"/>
          <w:bCs w:val="0"/>
          <w:color w:val="000000"/>
          <w:kern w:val="0"/>
          <w:sz w:val="32"/>
          <w:szCs w:val="32"/>
          <w:highlight w:val="none"/>
          <w:lang w:eastAsia="zh-CN" w:bidi="ar"/>
        </w:rPr>
        <w:t>，</w:t>
      </w:r>
      <w:r>
        <w:rPr>
          <w:rFonts w:hint="eastAsia" w:ascii="仿宋" w:hAnsi="仿宋" w:eastAsia="仿宋" w:cs="仿宋"/>
          <w:b w:val="0"/>
          <w:bCs w:val="0"/>
          <w:color w:val="000000"/>
          <w:sz w:val="32"/>
          <w:szCs w:val="32"/>
          <w:highlight w:val="none"/>
          <w:lang w:val="en-US" w:eastAsia="zh-CN"/>
        </w:rPr>
        <w:t>区级地方贡献</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strike w:val="0"/>
          <w:dstrike w:val="0"/>
          <w:color w:val="000000"/>
          <w:sz w:val="32"/>
          <w:szCs w:val="32"/>
          <w:highlight w:val="none"/>
          <w:lang w:val="en-US" w:eastAsia="zh-CN"/>
        </w:rPr>
        <w:t>企业高管</w:t>
      </w:r>
      <w:r>
        <w:rPr>
          <w:rFonts w:hint="eastAsia" w:ascii="仿宋" w:hAnsi="仿宋" w:eastAsia="仿宋" w:cs="仿宋"/>
          <w:b w:val="0"/>
          <w:bCs w:val="0"/>
          <w:strike w:val="0"/>
          <w:dstrike w:val="0"/>
          <w:color w:val="000000"/>
          <w:sz w:val="32"/>
          <w:szCs w:val="32"/>
          <w:highlight w:val="none"/>
          <w:lang w:eastAsia="zh-CN"/>
        </w:rPr>
        <w:t>，高管奖励，</w:t>
      </w:r>
      <w:r>
        <w:rPr>
          <w:rFonts w:hint="eastAsia" w:ascii="仿宋" w:hAnsi="仿宋" w:eastAsia="仿宋" w:cs="仿宋"/>
          <w:b w:val="0"/>
          <w:bCs w:val="0"/>
          <w:strike w:val="0"/>
          <w:dstrike w:val="0"/>
          <w:color w:val="000000"/>
          <w:sz w:val="32"/>
          <w:szCs w:val="32"/>
          <w:highlight w:val="none"/>
          <w:lang w:val="en-US" w:eastAsia="zh-CN"/>
        </w:rPr>
        <w:t>入库税收和销售额</w:t>
      </w:r>
      <w:r>
        <w:rPr>
          <w:rFonts w:hint="eastAsia" w:ascii="仿宋" w:hAnsi="仿宋" w:eastAsia="仿宋" w:cs="仿宋"/>
          <w:b w:val="0"/>
          <w:bCs w:val="0"/>
          <w:strike w:val="0"/>
          <w:dstrike w:val="0"/>
          <w:color w:val="000000"/>
          <w:sz w:val="32"/>
          <w:szCs w:val="32"/>
          <w:highlight w:val="none"/>
          <w:lang w:eastAsia="zh-CN"/>
        </w:rPr>
        <w:t>，年度，</w:t>
      </w:r>
      <w:bookmarkStart w:id="0" w:name="_GoBack"/>
      <w:bookmarkEnd w:id="0"/>
      <w:r>
        <w:rPr>
          <w:rFonts w:hint="eastAsia" w:ascii="仿宋" w:hAnsi="仿宋" w:eastAsia="仿宋" w:cs="仿宋"/>
          <w:b w:val="0"/>
          <w:bCs w:val="0"/>
          <w:color w:val="000000"/>
          <w:sz w:val="32"/>
          <w:szCs w:val="32"/>
          <w:highlight w:val="none"/>
          <w:lang w:val="en-US" w:eastAsia="zh-CN"/>
        </w:rPr>
        <w:t>重复、叠加和进等奖励</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政策实施</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lang w:val="en-US" w:eastAsia="zh-CN"/>
        </w:rPr>
        <w:t>政策有效期</w:t>
      </w:r>
      <w:r>
        <w:rPr>
          <w:rFonts w:hint="eastAsia" w:ascii="仿宋" w:hAnsi="仿宋" w:eastAsia="仿宋" w:cs="仿宋"/>
          <w:b w:val="0"/>
          <w:bCs w:val="0"/>
          <w:color w:val="000000"/>
          <w:kern w:val="2"/>
          <w:sz w:val="32"/>
          <w:szCs w:val="32"/>
          <w:shd w:val="clear" w:color="auto" w:fill="auto"/>
          <w:lang w:val="en-US" w:eastAsia="zh-CN" w:bidi="ar-SA"/>
        </w:rPr>
        <w:t>进行说明</w:t>
      </w:r>
      <w:r>
        <w:rPr>
          <w:rFonts w:hint="eastAsia" w:ascii="仿宋" w:hAnsi="仿宋" w:eastAsia="仿宋" w:cs="仿宋"/>
          <w:b w:val="0"/>
          <w:bCs w:val="0"/>
          <w:color w:val="000000"/>
          <w:kern w:val="2"/>
          <w:sz w:val="32"/>
          <w:szCs w:val="32"/>
          <w:shd w:val="clear" w:color="auto" w:fill="auto"/>
          <w:lang w:eastAsia="zh-CN" w:bidi="ar-SA"/>
        </w:rPr>
        <w:t>。</w:t>
      </w:r>
    </w:p>
    <w:p>
      <w:pPr>
        <w:keepNext w:val="0"/>
        <w:keepLines w:val="0"/>
        <w:pageBreakBefore w:val="0"/>
        <w:widowControl w:val="0"/>
        <w:kinsoku/>
        <w:wordWrap/>
        <w:overflowPunct/>
        <w:topLinePunct w:val="0"/>
        <w:autoSpaceDE/>
        <w:autoSpaceDN/>
        <w:bidi w:val="0"/>
        <w:adjustRightInd/>
        <w:spacing w:line="300" w:lineRule="auto"/>
        <w:ind w:firstLine="640" w:firstLineChars="200"/>
        <w:textAlignment w:val="auto"/>
        <w:outlineLvl w:val="9"/>
        <w:rPr>
          <w:rFonts w:hint="default" w:ascii="仿宋_GB2312" w:hAnsi="仿宋_GB2312" w:eastAsia="仿宋_GB2312" w:cs="仿宋_GB2312"/>
          <w:b w:val="0"/>
          <w:bCs w:val="0"/>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default" w:ascii="仿宋_GB2312" w:hAnsi="仿宋_GB2312" w:eastAsia="仿宋_GB2312" w:cs="仿宋_GB2312"/>
          <w:b/>
          <w:bCs/>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default" w:ascii="仿宋_GB2312" w:hAnsi="仿宋_GB2312" w:eastAsia="仿宋_GB2312" w:cs="仿宋_GB2312"/>
          <w:b/>
          <w:bCs/>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color w:val="000000"/>
          <w:lang w:val="en-US" w:eastAsia="zh-CN"/>
        </w:rPr>
      </w:pP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7EF64"/>
    <w:multiLevelType w:val="singleLevel"/>
    <w:tmpl w:val="89E7EF64"/>
    <w:lvl w:ilvl="0" w:tentative="0">
      <w:start w:val="1"/>
      <w:numFmt w:val="chineseCountingThousand"/>
      <w:suff w:val="nothing"/>
      <w:lvlText w:val="（%1）"/>
      <w:lvlJc w:val="left"/>
      <w:pPr>
        <w:tabs>
          <w:tab w:val="left" w:pos="420"/>
        </w:tabs>
        <w:ind w:left="0" w:leftChars="0" w:firstLine="0" w:firstLineChars="0"/>
      </w:pPr>
      <w:rPr>
        <w:rFonts w:hint="eastAsia"/>
      </w:rPr>
    </w:lvl>
  </w:abstractNum>
  <w:abstractNum w:abstractNumId="1">
    <w:nsid w:val="47CD5A0B"/>
    <w:multiLevelType w:val="singleLevel"/>
    <w:tmpl w:val="47CD5A0B"/>
    <w:lvl w:ilvl="0" w:tentative="0">
      <w:start w:val="3"/>
      <w:numFmt w:val="chineseCountingThousand"/>
      <w:suff w:val="nothing"/>
      <w:lvlText w:val="（%1）"/>
      <w:lvlJc w:val="left"/>
      <w:pPr>
        <w:tabs>
          <w:tab w:val="left" w:pos="420"/>
        </w:tabs>
        <w:ind w:left="0" w:leftChars="0" w:firstLine="0" w:firstLineChars="0"/>
      </w:pPr>
      <w:rPr>
        <w:rFonts w:hint="eastAsia"/>
      </w:rPr>
    </w:lvl>
  </w:abstractNum>
  <w:abstractNum w:abstractNumId="2">
    <w:nsid w:val="53846081"/>
    <w:multiLevelType w:val="singleLevel"/>
    <w:tmpl w:val="53846081"/>
    <w:lvl w:ilvl="0" w:tentative="0">
      <w:start w:val="2"/>
      <w:numFmt w:val="chineseCountingThousand"/>
      <w:suff w:val="nothing"/>
      <w:lvlText w:val="（%1）"/>
      <w:lvlJc w:val="left"/>
      <w:pPr>
        <w:tabs>
          <w:tab w:val="left" w:pos="420"/>
        </w:tabs>
        <w:ind w:left="0" w:leftChars="0" w:firstLine="0" w:firstLineChars="0"/>
      </w:pPr>
      <w:rPr>
        <w:rFonts w:hint="eastAsia"/>
      </w:rPr>
    </w:lvl>
  </w:abstractNum>
  <w:abstractNum w:abstractNumId="3">
    <w:nsid w:val="5F04FE8D"/>
    <w:multiLevelType w:val="singleLevel"/>
    <w:tmpl w:val="5F04FE8D"/>
    <w:lvl w:ilvl="0" w:tentative="0">
      <w:start w:val="5"/>
      <w:numFmt w:val="decimal"/>
      <w:suff w:val="nothing"/>
      <w:lvlText w:val="%1．"/>
      <w:lvlJc w:val="left"/>
    </w:lvl>
  </w:abstractNum>
  <w:abstractNum w:abstractNumId="4">
    <w:nsid w:val="67901042"/>
    <w:multiLevelType w:val="singleLevel"/>
    <w:tmpl w:val="67901042"/>
    <w:lvl w:ilvl="0" w:tentative="0">
      <w:start w:val="1"/>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YWU4Njc5NTgxY2NhYjg0ZWJmY2JlMGRiNWNmOWMifQ=="/>
  </w:docVars>
  <w:rsids>
    <w:rsidRoot w:val="39BE4528"/>
    <w:rsid w:val="09F82572"/>
    <w:rsid w:val="0C7E3BC6"/>
    <w:rsid w:val="0EDE2C33"/>
    <w:rsid w:val="1B0619F4"/>
    <w:rsid w:val="1B2C1CF8"/>
    <w:rsid w:val="1DF92729"/>
    <w:rsid w:val="1EFB20CC"/>
    <w:rsid w:val="1FCD4669"/>
    <w:rsid w:val="20F90A4D"/>
    <w:rsid w:val="271F7918"/>
    <w:rsid w:val="27DB2145"/>
    <w:rsid w:val="283400AF"/>
    <w:rsid w:val="2B4F4B38"/>
    <w:rsid w:val="2FF4BCC3"/>
    <w:rsid w:val="35BD37BB"/>
    <w:rsid w:val="36AFE607"/>
    <w:rsid w:val="374E3BA4"/>
    <w:rsid w:val="39BE4528"/>
    <w:rsid w:val="3AEFFE86"/>
    <w:rsid w:val="3EFAE0A5"/>
    <w:rsid w:val="3EFF61D6"/>
    <w:rsid w:val="3FE60292"/>
    <w:rsid w:val="42AD2F4E"/>
    <w:rsid w:val="45831308"/>
    <w:rsid w:val="5B032BE3"/>
    <w:rsid w:val="5EFE83AB"/>
    <w:rsid w:val="5FBF7CA8"/>
    <w:rsid w:val="5FDD21CC"/>
    <w:rsid w:val="5FFB00A8"/>
    <w:rsid w:val="615B3327"/>
    <w:rsid w:val="627F0532"/>
    <w:rsid w:val="669E5062"/>
    <w:rsid w:val="671375EE"/>
    <w:rsid w:val="675FE888"/>
    <w:rsid w:val="67F70370"/>
    <w:rsid w:val="68DE5AFF"/>
    <w:rsid w:val="6BF3E67A"/>
    <w:rsid w:val="6E4312E9"/>
    <w:rsid w:val="6EA738AD"/>
    <w:rsid w:val="6EE74FDC"/>
    <w:rsid w:val="6F6F7A2B"/>
    <w:rsid w:val="6FB7D7B6"/>
    <w:rsid w:val="6FFF7E4C"/>
    <w:rsid w:val="73BF908B"/>
    <w:rsid w:val="75768113"/>
    <w:rsid w:val="7576F310"/>
    <w:rsid w:val="77CD0409"/>
    <w:rsid w:val="77D99A5A"/>
    <w:rsid w:val="77F1D25A"/>
    <w:rsid w:val="7A9C2AAE"/>
    <w:rsid w:val="7B7F00E7"/>
    <w:rsid w:val="7BBFFC0A"/>
    <w:rsid w:val="7DF7FFA1"/>
    <w:rsid w:val="7E7F21B7"/>
    <w:rsid w:val="7F77CA21"/>
    <w:rsid w:val="7F7F1DE7"/>
    <w:rsid w:val="7FCE779C"/>
    <w:rsid w:val="7FDF49A4"/>
    <w:rsid w:val="7FF9653C"/>
    <w:rsid w:val="7FFEF542"/>
    <w:rsid w:val="8FB929F9"/>
    <w:rsid w:val="9DFFCECD"/>
    <w:rsid w:val="ADB6C093"/>
    <w:rsid w:val="AF578398"/>
    <w:rsid w:val="B7FE0D3F"/>
    <w:rsid w:val="BDDF155C"/>
    <w:rsid w:val="BE76ECD5"/>
    <w:rsid w:val="BF7B16CC"/>
    <w:rsid w:val="BFFFEBB7"/>
    <w:rsid w:val="CB6FF074"/>
    <w:rsid w:val="CDFBE6E5"/>
    <w:rsid w:val="CFF5E579"/>
    <w:rsid w:val="CFFFE0E8"/>
    <w:rsid w:val="D3FFD8C5"/>
    <w:rsid w:val="D79611BF"/>
    <w:rsid w:val="D87FFFE0"/>
    <w:rsid w:val="DEF9851F"/>
    <w:rsid w:val="DFBF7882"/>
    <w:rsid w:val="DFC71559"/>
    <w:rsid w:val="E36D23AF"/>
    <w:rsid w:val="E3F69872"/>
    <w:rsid w:val="E9CE8B05"/>
    <w:rsid w:val="ECF60E44"/>
    <w:rsid w:val="EE7E4CBD"/>
    <w:rsid w:val="EFEE4B4F"/>
    <w:rsid w:val="EFFAD44A"/>
    <w:rsid w:val="EFFFA92B"/>
    <w:rsid w:val="F4DF9603"/>
    <w:rsid w:val="F5F956D2"/>
    <w:rsid w:val="F5FF09A1"/>
    <w:rsid w:val="F67DEC49"/>
    <w:rsid w:val="F774EB3E"/>
    <w:rsid w:val="F7F21DEF"/>
    <w:rsid w:val="F7F36CB7"/>
    <w:rsid w:val="F9FE502A"/>
    <w:rsid w:val="FDF71BDF"/>
    <w:rsid w:val="FDFDB292"/>
    <w:rsid w:val="FE3F6B7A"/>
    <w:rsid w:val="FE9BCC21"/>
    <w:rsid w:val="FEB6B2C4"/>
    <w:rsid w:val="FEF73873"/>
    <w:rsid w:val="FEFD8802"/>
    <w:rsid w:val="FEFDCCD2"/>
    <w:rsid w:val="FF073E4E"/>
    <w:rsid w:val="FF7F7AC7"/>
    <w:rsid w:val="FF8D1E14"/>
    <w:rsid w:val="FFBC3BDB"/>
    <w:rsid w:val="FFBF3530"/>
    <w:rsid w:val="FFD582AE"/>
    <w:rsid w:val="FFDFF7E6"/>
    <w:rsid w:val="FFEA3D1C"/>
    <w:rsid w:val="FFEC3627"/>
    <w:rsid w:val="FFFE2DBA"/>
    <w:rsid w:val="FFFEF8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2" w:right="3"/>
      <w:jc w:val="center"/>
      <w:outlineLvl w:val="1"/>
    </w:pPr>
    <w:rPr>
      <w:rFonts w:ascii="小标宋" w:hAnsi="小标宋" w:eastAsia="小标宋" w:cs="小标宋"/>
      <w:sz w:val="44"/>
      <w:szCs w:val="44"/>
      <w:lang w:val="zh-CN" w:eastAsia="zh-CN" w:bidi="zh-CN"/>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1"/>
    <w:rPr>
      <w:rFonts w:ascii="PMingLiU" w:hAnsi="PMingLiU" w:eastAsia="PMingLiU" w:cs="PMingLiU"/>
      <w:sz w:val="32"/>
      <w:szCs w:val="32"/>
      <w:lang w:val="zh-CN" w:eastAsia="zh-CN" w:bidi="zh-CN"/>
    </w:rPr>
  </w:style>
  <w:style w:type="paragraph" w:styleId="3">
    <w:name w:val="Body Text First Indent"/>
    <w:basedOn w:val="2"/>
    <w:next w:val="1"/>
    <w:qFormat/>
    <w:uiPriority w:val="99"/>
    <w:pPr>
      <w:spacing w:line="500" w:lineRule="exact"/>
      <w:ind w:firstLine="420"/>
    </w:pPr>
  </w:style>
  <w:style w:type="paragraph" w:styleId="5">
    <w:name w:val="annotation text"/>
    <w:basedOn w:val="1"/>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宋体"/>
      <w:kern w:val="2"/>
      <w:sz w:val="21"/>
      <w:szCs w:val="21"/>
      <w:lang w:val="en-US" w:eastAsia="zh-CN" w:bidi="ar"/>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rPr>
      <w:sz w:val="24"/>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1">
    <w:name w:val="toc 11"/>
    <w:next w:val="1"/>
    <w:qFormat/>
    <w:uiPriority w:val="0"/>
    <w:pPr>
      <w:wordWrap w:val="0"/>
      <w:jc w:val="both"/>
    </w:pPr>
    <w:rPr>
      <w:rFonts w:ascii="Times New Roman" w:hAnsi="Times New Roman" w:eastAsia="宋体" w:cs="Times New Roman"/>
      <w:sz w:val="21"/>
      <w:lang w:val="en-US" w:eastAsia="zh-CN" w:bidi="ar-SA"/>
    </w:rPr>
  </w:style>
  <w:style w:type="character" w:customStyle="1" w:styleId="12">
    <w:name w:val="NormalCharacter"/>
    <w:qFormat/>
    <w:uiPriority w:val="0"/>
    <w:rPr>
      <w:rFonts w:ascii="Times New Roman" w:hAnsi="Times New Roman" w:eastAsia="宋体" w:cs="Times New Roman"/>
    </w:rPr>
  </w:style>
  <w:style w:type="character" w:customStyle="1" w:styleId="13">
    <w:name w:val="15"/>
    <w:basedOn w:val="10"/>
    <w:qFormat/>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潮州市潮安区机关及下属单位</Company>
  <Pages>3</Pages>
  <Words>1224</Words>
  <Characters>1249</Characters>
  <Lines>1</Lines>
  <Paragraphs>1</Paragraphs>
  <TotalTime>4</TotalTime>
  <ScaleCrop>false</ScaleCrop>
  <LinksUpToDate>false</LinksUpToDate>
  <CharactersWithSpaces>1265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2022-08-29T05:17:00Z</dcterms:created>
  <dc:creator>Administrator</dc:creator>
  <cp:lastModifiedBy>Administrator</cp:lastModifiedBy>
  <cp:lastPrinted>2022-10-17T22:25:00Z</cp:lastPrinted>
  <dcterms:modified xsi:type="dcterms:W3CDTF">2022-11-30T05:07:03Z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ED28283CBAD64DE2875EFE13579D6BBB</vt:lpwstr>
  </property>
</Properties>
</file>