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黑体" w:hAnsi="黑体" w:eastAsia="黑体" w:cs="Calibri"/>
          <w:kern w:val="0"/>
        </w:rPr>
      </w:pPr>
      <w:r>
        <w:rPr>
          <w:rFonts w:hint="eastAsia" w:ascii="黑体" w:hAnsi="黑体" w:eastAsia="黑体" w:cs="Calibri"/>
          <w:kern w:val="0"/>
        </w:rPr>
        <w:t>附件1</w:t>
      </w:r>
    </w:p>
    <w:p>
      <w:pPr>
        <w:pStyle w:val="4"/>
        <w:spacing w:after="0" w:line="580" w:lineRule="exact"/>
        <w:ind w:left="0" w:leftChars="0" w:firstLine="632"/>
        <w:rPr>
          <w:rFonts w:hint="eastAsia"/>
        </w:rPr>
      </w:pPr>
      <w:r>
        <w:t xml:space="preserve"> </w:t>
      </w:r>
    </w:p>
    <w:p>
      <w:pPr>
        <w:spacing w:line="580" w:lineRule="exact"/>
        <w:jc w:val="center"/>
        <w:rPr>
          <w:rFonts w:hint="eastAsia" w:ascii="小标宋" w:eastAsia="小标宋"/>
          <w:kern w:val="0"/>
          <w:sz w:val="44"/>
          <w:szCs w:val="44"/>
        </w:rPr>
      </w:pPr>
      <w:r>
        <w:rPr>
          <w:rFonts w:hint="eastAsia" w:ascii="小标宋" w:eastAsia="小标宋"/>
          <w:kern w:val="0"/>
          <w:sz w:val="44"/>
          <w:szCs w:val="44"/>
        </w:rPr>
        <w:t>委托执法权限</w:t>
      </w:r>
    </w:p>
    <w:p>
      <w:pPr>
        <w:spacing w:line="240" w:lineRule="exact"/>
        <w:jc w:val="center"/>
        <w:rPr>
          <w:rFonts w:ascii="Calibri" w:hAnsi="Calibri" w:eastAsia="宋体"/>
          <w:sz w:val="21"/>
          <w:szCs w:val="21"/>
        </w:rPr>
      </w:pPr>
    </w:p>
    <w:tbl>
      <w:tblPr>
        <w:tblStyle w:val="5"/>
        <w:tblW w:w="15375" w:type="dxa"/>
        <w:jc w:val="center"/>
        <w:tblLayout w:type="fixed"/>
        <w:tblCellMar>
          <w:top w:w="0" w:type="dxa"/>
          <w:left w:w="108" w:type="dxa"/>
          <w:bottom w:w="0" w:type="dxa"/>
          <w:right w:w="108" w:type="dxa"/>
        </w:tblCellMar>
      </w:tblPr>
      <w:tblGrid>
        <w:gridCol w:w="1380"/>
        <w:gridCol w:w="1216"/>
        <w:gridCol w:w="1769"/>
        <w:gridCol w:w="8049"/>
        <w:gridCol w:w="2961"/>
      </w:tblGrid>
      <w:tr>
        <w:tblPrEx>
          <w:tblCellMar>
            <w:top w:w="0" w:type="dxa"/>
            <w:left w:w="108" w:type="dxa"/>
            <w:bottom w:w="0" w:type="dxa"/>
            <w:right w:w="108" w:type="dxa"/>
          </w:tblCellMar>
        </w:tblPrEx>
        <w:trPr>
          <w:trHeight w:val="312" w:hRule="atLeast"/>
          <w:tblHeade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Calibri" w:hAnsi="Calibri" w:eastAsia="黑体"/>
                <w:kern w:val="0"/>
                <w:sz w:val="24"/>
                <w:szCs w:val="24"/>
              </w:rPr>
            </w:pPr>
            <w:r>
              <w:rPr>
                <w:rFonts w:hint="eastAsia" w:ascii="Calibri" w:hAnsi="Calibri" w:eastAsia="黑体" w:cs="Calibri"/>
                <w:kern w:val="0"/>
                <w:sz w:val="24"/>
                <w:szCs w:val="24"/>
              </w:rPr>
              <w:t>委托项目</w:t>
            </w:r>
          </w:p>
        </w:tc>
        <w:tc>
          <w:tcPr>
            <w:tcW w:w="12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Calibri" w:hAnsi="Calibri" w:eastAsia="黑体"/>
                <w:kern w:val="0"/>
                <w:sz w:val="24"/>
                <w:szCs w:val="24"/>
              </w:rPr>
            </w:pPr>
            <w:r>
              <w:rPr>
                <w:rFonts w:hint="eastAsia" w:ascii="Calibri" w:hAnsi="Calibri" w:eastAsia="黑体" w:cs="Calibri"/>
                <w:kern w:val="0"/>
                <w:sz w:val="24"/>
                <w:szCs w:val="24"/>
              </w:rPr>
              <w:t>委托行政机关</w:t>
            </w:r>
          </w:p>
        </w:tc>
        <w:tc>
          <w:tcPr>
            <w:tcW w:w="176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Calibri" w:hAnsi="Calibri" w:eastAsia="黑体"/>
                <w:kern w:val="0"/>
                <w:sz w:val="24"/>
                <w:szCs w:val="24"/>
              </w:rPr>
            </w:pPr>
            <w:r>
              <w:rPr>
                <w:rFonts w:hint="eastAsia" w:ascii="Calibri" w:hAnsi="Calibri" w:eastAsia="黑体" w:cs="Calibri"/>
                <w:kern w:val="0"/>
                <w:sz w:val="24"/>
                <w:szCs w:val="24"/>
              </w:rPr>
              <w:t>受委托组织</w:t>
            </w:r>
          </w:p>
        </w:tc>
        <w:tc>
          <w:tcPr>
            <w:tcW w:w="804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Calibri" w:hAnsi="Calibri" w:eastAsia="黑体"/>
                <w:kern w:val="0"/>
                <w:sz w:val="24"/>
                <w:szCs w:val="24"/>
              </w:rPr>
            </w:pPr>
            <w:r>
              <w:rPr>
                <w:rFonts w:hint="eastAsia" w:ascii="Calibri" w:hAnsi="Calibri" w:eastAsia="黑体" w:cs="Calibri"/>
                <w:kern w:val="0"/>
                <w:sz w:val="24"/>
                <w:szCs w:val="24"/>
              </w:rPr>
              <w:t>行政执法法定事项及权限</w:t>
            </w:r>
          </w:p>
        </w:tc>
        <w:tc>
          <w:tcPr>
            <w:tcW w:w="296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Calibri" w:hAnsi="Calibri" w:eastAsia="黑体"/>
                <w:kern w:val="0"/>
                <w:sz w:val="24"/>
                <w:szCs w:val="24"/>
              </w:rPr>
            </w:pPr>
            <w:r>
              <w:rPr>
                <w:rFonts w:hint="eastAsia" w:ascii="Calibri" w:hAnsi="Calibri" w:eastAsia="黑体" w:cs="Calibri"/>
                <w:kern w:val="0"/>
                <w:sz w:val="24"/>
                <w:szCs w:val="24"/>
              </w:rPr>
              <w:t>委托权限</w:t>
            </w:r>
          </w:p>
        </w:tc>
      </w:tr>
      <w:tr>
        <w:tblPrEx>
          <w:tblCellMar>
            <w:top w:w="0" w:type="dxa"/>
            <w:left w:w="108" w:type="dxa"/>
            <w:bottom w:w="0" w:type="dxa"/>
            <w:right w:w="108" w:type="dxa"/>
          </w:tblCellMar>
        </w:tblPrEx>
        <w:trPr>
          <w:trHeight w:val="5793" w:hRule="atLeast"/>
          <w:jc w:val="center"/>
        </w:trPr>
        <w:tc>
          <w:tcPr>
            <w:tcW w:w="1380"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_GB2312" w:hAnsi="Calibri" w:cs="Calibri"/>
                <w:kern w:val="0"/>
                <w:sz w:val="24"/>
                <w:szCs w:val="24"/>
              </w:rPr>
            </w:pPr>
            <w:r>
              <w:rPr>
                <w:rFonts w:hint="eastAsia" w:ascii="仿宋_GB2312" w:cs="Calibri"/>
                <w:kern w:val="0"/>
                <w:sz w:val="22"/>
                <w:szCs w:val="22"/>
              </w:rPr>
              <w:t>行政处罚</w:t>
            </w:r>
          </w:p>
        </w:tc>
        <w:tc>
          <w:tcPr>
            <w:tcW w:w="1216" w:type="dxa"/>
            <w:tcBorders>
              <w:top w:val="nil"/>
              <w:left w:val="nil"/>
              <w:bottom w:val="single" w:color="auto" w:sz="4" w:space="0"/>
              <w:right w:val="single" w:color="auto" w:sz="4" w:space="0"/>
            </w:tcBorders>
            <w:noWrap w:val="0"/>
            <w:vAlign w:val="center"/>
          </w:tcPr>
          <w:p>
            <w:pPr>
              <w:spacing w:line="280" w:lineRule="exact"/>
              <w:jc w:val="center"/>
              <w:rPr>
                <w:rFonts w:ascii="仿宋_GB2312" w:hAnsi="Calibri" w:cs="Calibri"/>
                <w:kern w:val="0"/>
                <w:sz w:val="24"/>
                <w:szCs w:val="24"/>
              </w:rPr>
            </w:pPr>
            <w:r>
              <w:rPr>
                <w:rFonts w:hint="eastAsia" w:ascii="仿宋_GB2312" w:cs="Calibri"/>
                <w:kern w:val="0"/>
                <w:sz w:val="22"/>
                <w:szCs w:val="22"/>
              </w:rPr>
              <w:t>区消防救援机构</w:t>
            </w:r>
          </w:p>
        </w:tc>
        <w:tc>
          <w:tcPr>
            <w:tcW w:w="1769" w:type="dxa"/>
            <w:tcBorders>
              <w:top w:val="nil"/>
              <w:left w:val="nil"/>
              <w:bottom w:val="single" w:color="auto" w:sz="4" w:space="0"/>
              <w:right w:val="single" w:color="auto" w:sz="4" w:space="0"/>
            </w:tcBorders>
            <w:noWrap w:val="0"/>
            <w:vAlign w:val="center"/>
          </w:tcPr>
          <w:p>
            <w:pPr>
              <w:spacing w:line="280" w:lineRule="exact"/>
              <w:jc w:val="center"/>
              <w:rPr>
                <w:rFonts w:ascii="仿宋_GB2312" w:hAnsi="Calibri" w:cs="Calibri"/>
                <w:kern w:val="0"/>
                <w:sz w:val="22"/>
                <w:szCs w:val="22"/>
              </w:rPr>
            </w:pPr>
            <w:r>
              <w:rPr>
                <w:rFonts w:hint="eastAsia" w:ascii="仿宋_GB2312" w:cs="Calibri"/>
                <w:kern w:val="0"/>
                <w:sz w:val="22"/>
                <w:szCs w:val="22"/>
              </w:rPr>
              <w:t>街镇符合法定条件的组织</w:t>
            </w:r>
          </w:p>
        </w:tc>
        <w:tc>
          <w:tcPr>
            <w:tcW w:w="804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32" w:firstLineChars="200"/>
              <w:rPr>
                <w:rFonts w:ascii="仿宋_GB2312"/>
                <w:kern w:val="0"/>
                <w:sz w:val="22"/>
                <w:szCs w:val="22"/>
              </w:rPr>
            </w:pPr>
            <w:r>
              <w:rPr>
                <w:rFonts w:hint="eastAsia" w:ascii="仿宋_GB2312" w:cs="Calibri"/>
                <w:kern w:val="0"/>
                <w:sz w:val="22"/>
                <w:szCs w:val="22"/>
              </w:rPr>
              <w:t>《中华人民共和国消防法》</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第六十条：单位违反本法规定，有下列行为之一的，责令改正，处五千元以上五万元以下罚款：</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（一）消防设施、器材或者消防安全标志的配置、设置不符合国家标准、行业标准，或者未保持完好有效的；</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（二）损坏、挪用或者擅自拆除、停用消防设施、器材的；</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（三）占用、堵塞、封闭疏散通道、安全出口或者有其他妨碍安全疏散行为的；</w:t>
            </w:r>
          </w:p>
          <w:p>
            <w:pPr>
              <w:widowControl/>
              <w:spacing w:line="280" w:lineRule="exact"/>
              <w:ind w:firstLine="432" w:firstLineChars="200"/>
              <w:rPr>
                <w:rFonts w:hint="eastAsia"/>
                <w:szCs w:val="32"/>
              </w:rPr>
            </w:pPr>
            <w:r>
              <w:rPr>
                <w:rFonts w:hint="eastAsia" w:ascii="仿宋_GB2312" w:cs="Calibri"/>
                <w:kern w:val="0"/>
                <w:sz w:val="22"/>
                <w:szCs w:val="22"/>
              </w:rPr>
              <w:t>（四）埋压、圈占、遮挡消火栓或者占用防火间距的；</w:t>
            </w:r>
          </w:p>
          <w:p>
            <w:pPr>
              <w:widowControl/>
              <w:spacing w:line="280" w:lineRule="exact"/>
              <w:ind w:firstLine="432" w:firstLineChars="200"/>
              <w:rPr>
                <w:rFonts w:ascii="仿宋_GB2312" w:cs="Calibri"/>
                <w:kern w:val="0"/>
                <w:sz w:val="22"/>
                <w:szCs w:val="22"/>
              </w:rPr>
            </w:pPr>
            <w:r>
              <w:rPr>
                <w:rFonts w:hint="eastAsia" w:ascii="仿宋_GB2312" w:cs="Calibri"/>
                <w:kern w:val="0"/>
                <w:sz w:val="22"/>
                <w:szCs w:val="22"/>
              </w:rPr>
              <w:t>（七）对火灾隐患经消防救援机构通知后不及时采取措施消除的。</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个人有前款第二项、第三项行为之一的，处警告或者五百元以下罚款。</w:t>
            </w:r>
          </w:p>
          <w:p>
            <w:pPr>
              <w:widowControl/>
              <w:spacing w:line="280" w:lineRule="exact"/>
              <w:ind w:firstLine="432" w:firstLineChars="200"/>
              <w:rPr>
                <w:rFonts w:hint="eastAsia" w:ascii="仿宋_GB2312" w:cs="Calibri"/>
                <w:kern w:val="0"/>
                <w:sz w:val="22"/>
                <w:szCs w:val="22"/>
              </w:rPr>
            </w:pPr>
            <w:r>
              <w:rPr>
                <w:rFonts w:hint="eastAsia" w:ascii="仿宋_GB2312" w:cs="Calibri"/>
                <w:kern w:val="0"/>
                <w:sz w:val="22"/>
                <w:szCs w:val="22"/>
              </w:rPr>
              <w:t>有本条第一款第三项行为，经责令改正拒不改正的，强制执行，所需费用由违法行为人承担。</w:t>
            </w:r>
          </w:p>
          <w:p>
            <w:pPr>
              <w:widowControl/>
              <w:spacing w:line="280" w:lineRule="exact"/>
              <w:ind w:firstLine="432" w:firstLineChars="200"/>
              <w:rPr>
                <w:rFonts w:ascii="仿宋_GB2312" w:cs="Calibri"/>
                <w:kern w:val="0"/>
                <w:sz w:val="22"/>
                <w:szCs w:val="22"/>
              </w:rPr>
            </w:pPr>
            <w:r>
              <w:rPr>
                <w:rFonts w:hint="eastAsia" w:ascii="仿宋_GB2312" w:cs="Calibri"/>
                <w:kern w:val="0"/>
                <w:sz w:val="22"/>
                <w:szCs w:val="22"/>
              </w:rPr>
              <w:t>第六十七条：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296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cs="Calibri"/>
                <w:kern w:val="0"/>
                <w:sz w:val="22"/>
                <w:szCs w:val="22"/>
              </w:rPr>
            </w:pPr>
            <w:r>
              <w:rPr>
                <w:rFonts w:hint="eastAsia" w:ascii="仿宋_GB2312" w:cs="Calibri"/>
                <w:kern w:val="0"/>
                <w:sz w:val="22"/>
                <w:szCs w:val="22"/>
              </w:rPr>
              <w:t>第六十条第一款第(一)、(二)、(三)、(四)、(七)项，第六十七条第一款应当由消防救援机构承担的行政处罚事项</w:t>
            </w:r>
          </w:p>
        </w:tc>
      </w:tr>
      <w:tr>
        <w:tblPrEx>
          <w:tblCellMar>
            <w:top w:w="0" w:type="dxa"/>
            <w:left w:w="108" w:type="dxa"/>
            <w:bottom w:w="0" w:type="dxa"/>
            <w:right w:w="108" w:type="dxa"/>
          </w:tblCellMar>
        </w:tblPrEx>
        <w:trPr>
          <w:trHeight w:val="194" w:hRule="atLeast"/>
          <w:jc w:val="center"/>
        </w:trPr>
        <w:tc>
          <w:tcPr>
            <w:tcW w:w="1380" w:type="dxa"/>
            <w:vMerge w:val="restart"/>
            <w:tcBorders>
              <w:top w:val="nil"/>
              <w:left w:val="single" w:color="auto" w:sz="4" w:space="0"/>
              <w:right w:val="single" w:color="auto" w:sz="4" w:space="0"/>
            </w:tcBorders>
            <w:noWrap w:val="0"/>
            <w:vAlign w:val="center"/>
          </w:tcPr>
          <w:p>
            <w:pPr>
              <w:widowControl/>
              <w:spacing w:line="280" w:lineRule="exact"/>
              <w:jc w:val="center"/>
              <w:rPr>
                <w:rFonts w:ascii="仿宋_GB2312" w:hAnsi="Calibri" w:cs="Calibri"/>
                <w:kern w:val="0"/>
                <w:sz w:val="24"/>
                <w:szCs w:val="24"/>
              </w:rPr>
            </w:pPr>
            <w:r>
              <w:rPr>
                <w:rFonts w:hint="eastAsia" w:ascii="仿宋_GB2312" w:cs="Calibri"/>
                <w:kern w:val="0"/>
                <w:sz w:val="22"/>
                <w:szCs w:val="22"/>
              </w:rPr>
              <w:t>行政处罚</w:t>
            </w:r>
          </w:p>
        </w:tc>
        <w:tc>
          <w:tcPr>
            <w:tcW w:w="1216" w:type="dxa"/>
            <w:vMerge w:val="restart"/>
            <w:tcBorders>
              <w:top w:val="nil"/>
              <w:left w:val="nil"/>
              <w:right w:val="single" w:color="auto" w:sz="4" w:space="0"/>
            </w:tcBorders>
            <w:noWrap w:val="0"/>
            <w:vAlign w:val="center"/>
          </w:tcPr>
          <w:p>
            <w:pPr>
              <w:widowControl/>
              <w:spacing w:line="280" w:lineRule="exact"/>
              <w:jc w:val="center"/>
              <w:rPr>
                <w:rFonts w:ascii="仿宋_GB2312" w:hAnsi="Calibri" w:cs="Calibri"/>
                <w:kern w:val="0"/>
                <w:sz w:val="24"/>
                <w:szCs w:val="24"/>
              </w:rPr>
            </w:pPr>
            <w:r>
              <w:rPr>
                <w:rFonts w:hint="eastAsia" w:ascii="仿宋_GB2312" w:cs="Calibri"/>
                <w:kern w:val="0"/>
                <w:sz w:val="22"/>
                <w:szCs w:val="22"/>
              </w:rPr>
              <w:t>区消防救援机构</w:t>
            </w:r>
          </w:p>
        </w:tc>
        <w:tc>
          <w:tcPr>
            <w:tcW w:w="1769" w:type="dxa"/>
            <w:vMerge w:val="restart"/>
            <w:tcBorders>
              <w:top w:val="nil"/>
              <w:left w:val="nil"/>
              <w:right w:val="single" w:color="auto" w:sz="4" w:space="0"/>
            </w:tcBorders>
            <w:noWrap w:val="0"/>
            <w:vAlign w:val="center"/>
          </w:tcPr>
          <w:p>
            <w:pPr>
              <w:widowControl/>
              <w:spacing w:line="280" w:lineRule="exact"/>
              <w:jc w:val="center"/>
              <w:rPr>
                <w:rFonts w:ascii="仿宋_GB2312" w:hAnsi="Calibri" w:cs="Calibri"/>
                <w:kern w:val="0"/>
                <w:sz w:val="22"/>
                <w:szCs w:val="22"/>
              </w:rPr>
            </w:pPr>
            <w:r>
              <w:rPr>
                <w:rFonts w:hint="eastAsia" w:ascii="仿宋_GB2312" w:cs="Calibri"/>
                <w:kern w:val="0"/>
                <w:sz w:val="22"/>
                <w:szCs w:val="22"/>
              </w:rPr>
              <w:t>街镇符合法定条件的组织</w:t>
            </w:r>
          </w:p>
        </w:tc>
        <w:tc>
          <w:tcPr>
            <w:tcW w:w="8049"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432" w:firstLineChars="200"/>
              <w:rPr>
                <w:rFonts w:ascii="仿宋_GB2312"/>
                <w:kern w:val="0"/>
                <w:sz w:val="22"/>
                <w:szCs w:val="22"/>
              </w:rPr>
            </w:pPr>
            <w:r>
              <w:rPr>
                <w:rFonts w:hint="eastAsia" w:ascii="仿宋_GB2312" w:cs="Calibri"/>
                <w:kern w:val="0"/>
                <w:sz w:val="22"/>
                <w:szCs w:val="22"/>
              </w:rPr>
              <w:t>《浙江省消防条例》</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第六十条：违反本条例第十七条规定，物业服务企业未履行消防安全职责的，由消防救援机构责令限期改正；逾期不改正的，处二千元以上二万元以下罚款。</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第六十三条：违反本条例第二十九条第一款规定，用于居住的出租房屋不符合消防安全要求的，由消防救援机构责令限期改正；逾期不改正，出租人是单位的，对单位处三千元以上三万元以下罚款，出租人是个人的，对个人处五百元以上五千元以下罚款。</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违反本条例第二十九条第三款规定，承租人改变房屋使用功能和结构，不符合消防安全要求的，由消防救援机构责令限期改正；逾期不改正的，处五百元以上五千元以下罚款。</w:t>
            </w:r>
          </w:p>
          <w:p>
            <w:pPr>
              <w:widowControl/>
              <w:spacing w:line="240" w:lineRule="exact"/>
              <w:ind w:firstLine="432" w:firstLineChars="200"/>
              <w:jc w:val="left"/>
              <w:rPr>
                <w:rFonts w:hint="eastAsia"/>
                <w:szCs w:val="32"/>
              </w:rPr>
            </w:pPr>
            <w:r>
              <w:rPr>
                <w:rFonts w:hint="eastAsia" w:ascii="仿宋_GB2312" w:cs="Calibri"/>
                <w:kern w:val="0"/>
                <w:sz w:val="22"/>
                <w:szCs w:val="22"/>
              </w:rPr>
              <w:t>第六十四条：违反本条例第三十一条第三款规定，在疏散通道、安全出口、楼梯间等影响消防通道畅通的区域停放电动自行车、电动摩托车，或者私拉电线和插座给电动自行车、电动摩托车充电的，由消防救援机构责令改正，可以处五十元以上二百元以下罚款。</w:t>
            </w:r>
          </w:p>
          <w:p>
            <w:pPr>
              <w:widowControl/>
              <w:spacing w:line="240" w:lineRule="exact"/>
              <w:ind w:firstLine="432" w:firstLineChars="200"/>
              <w:rPr>
                <w:rFonts w:ascii="仿宋_GB2312" w:cs="Calibri"/>
                <w:kern w:val="0"/>
                <w:sz w:val="22"/>
                <w:szCs w:val="22"/>
              </w:rPr>
            </w:pPr>
            <w:r>
              <w:rPr>
                <w:rFonts w:hint="eastAsia" w:ascii="仿宋_GB2312" w:cs="Calibri"/>
                <w:kern w:val="0"/>
                <w:sz w:val="22"/>
                <w:szCs w:val="22"/>
              </w:rPr>
              <w:t>第六十六条：违反本条例第三十六条规定，自动消防系统未定期检测、消防控制室未实行二十四小时值班制度的，由消防救援机构责令改正，处警告或者一千元以上一万元以下罚款；未按规定保存检测报告的，处警告或者五百元以下罚款。</w:t>
            </w:r>
          </w:p>
        </w:tc>
        <w:tc>
          <w:tcPr>
            <w:tcW w:w="296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cs="Calibri"/>
                <w:kern w:val="0"/>
                <w:sz w:val="22"/>
                <w:szCs w:val="22"/>
              </w:rPr>
            </w:pPr>
            <w:r>
              <w:rPr>
                <w:rFonts w:hint="eastAsia" w:ascii="仿宋_GB2312" w:cs="Calibri"/>
                <w:kern w:val="0"/>
                <w:sz w:val="22"/>
                <w:szCs w:val="22"/>
              </w:rPr>
              <w:t>第六十条、第六十三条、第六十四条第二款、第六十六条应当由消防救援机构承担的行政处罚事项</w:t>
            </w:r>
          </w:p>
        </w:tc>
      </w:tr>
      <w:tr>
        <w:tblPrEx>
          <w:tblCellMar>
            <w:top w:w="0" w:type="dxa"/>
            <w:left w:w="108" w:type="dxa"/>
            <w:bottom w:w="0" w:type="dxa"/>
            <w:right w:w="108" w:type="dxa"/>
          </w:tblCellMar>
        </w:tblPrEx>
        <w:trPr>
          <w:trHeight w:val="194" w:hRule="atLeast"/>
          <w:jc w:val="center"/>
        </w:trPr>
        <w:tc>
          <w:tcPr>
            <w:tcW w:w="1380"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Calibri" w:cs="Calibri"/>
                <w:kern w:val="0"/>
                <w:sz w:val="24"/>
                <w:szCs w:val="24"/>
              </w:rPr>
            </w:pPr>
          </w:p>
        </w:tc>
        <w:tc>
          <w:tcPr>
            <w:tcW w:w="1216" w:type="dxa"/>
            <w:vMerge w:val="continue"/>
            <w:tcBorders>
              <w:left w:val="nil"/>
              <w:bottom w:val="single" w:color="auto" w:sz="4" w:space="0"/>
              <w:right w:val="single" w:color="auto" w:sz="4" w:space="0"/>
            </w:tcBorders>
            <w:noWrap w:val="0"/>
            <w:vAlign w:val="center"/>
          </w:tcPr>
          <w:p>
            <w:pPr>
              <w:widowControl/>
              <w:spacing w:line="280" w:lineRule="exact"/>
              <w:jc w:val="left"/>
              <w:rPr>
                <w:rFonts w:ascii="仿宋_GB2312" w:hAnsi="Calibri" w:cs="Calibri"/>
                <w:kern w:val="0"/>
                <w:sz w:val="24"/>
                <w:szCs w:val="24"/>
              </w:rPr>
            </w:pPr>
          </w:p>
        </w:tc>
        <w:tc>
          <w:tcPr>
            <w:tcW w:w="1769" w:type="dxa"/>
            <w:vMerge w:val="continue"/>
            <w:tcBorders>
              <w:left w:val="nil"/>
              <w:bottom w:val="single" w:color="auto" w:sz="4" w:space="0"/>
              <w:right w:val="single" w:color="auto" w:sz="4" w:space="0"/>
            </w:tcBorders>
            <w:noWrap w:val="0"/>
            <w:vAlign w:val="center"/>
          </w:tcPr>
          <w:p>
            <w:pPr>
              <w:widowControl/>
              <w:spacing w:line="280" w:lineRule="exact"/>
              <w:jc w:val="left"/>
              <w:rPr>
                <w:rFonts w:ascii="仿宋_GB2312" w:hAnsi="Calibri" w:cs="Calibri"/>
                <w:kern w:val="0"/>
                <w:sz w:val="22"/>
                <w:szCs w:val="22"/>
              </w:rPr>
            </w:pPr>
          </w:p>
        </w:tc>
        <w:tc>
          <w:tcPr>
            <w:tcW w:w="8049"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432" w:firstLineChars="200"/>
              <w:jc w:val="left"/>
              <w:rPr>
                <w:rFonts w:ascii="仿宋_GB2312" w:cs="Calibri"/>
                <w:kern w:val="0"/>
                <w:sz w:val="22"/>
                <w:szCs w:val="22"/>
              </w:rPr>
            </w:pPr>
            <w:r>
              <w:rPr>
                <w:rFonts w:hint="eastAsia" w:ascii="仿宋_GB2312" w:cs="Calibri"/>
                <w:kern w:val="0"/>
                <w:sz w:val="22"/>
                <w:szCs w:val="22"/>
              </w:rPr>
              <w:t>《高层民用建筑消防安全管理规定》</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第四十七条：违反本规定，有下列行为之一的，由消防救援机构责令改正，对经营性单位和个人处2000元以上10000元以下罚款，对非经营性单位和个人处500元以上1000元以下罚款：</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（一）在高层民用建筑内进行电焊、气焊等明火作业，未履行动火审批手续、进行公告，或者未落实消防现场监护措施的；</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（三）未设置外墙外保温材料提示性和警示性标识，或者未及时修复破损、开裂和脱落的外墙外保温系统的；</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（四）未按照规定落实消防控制室值班制度，或者安排不具备相应条件的人员值班的；</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（五）未按照规定建立专职消防队、志愿消防队等消防组织的；</w:t>
            </w:r>
          </w:p>
          <w:p>
            <w:pPr>
              <w:widowControl/>
              <w:spacing w:line="240" w:lineRule="exact"/>
              <w:ind w:firstLine="432" w:firstLineChars="200"/>
              <w:jc w:val="left"/>
              <w:rPr>
                <w:rFonts w:hint="eastAsia" w:ascii="仿宋_GB2312" w:cs="Calibri"/>
                <w:kern w:val="0"/>
                <w:sz w:val="22"/>
                <w:szCs w:val="22"/>
              </w:rPr>
            </w:pPr>
            <w:r>
              <w:rPr>
                <w:rFonts w:hint="eastAsia" w:ascii="仿宋_GB2312" w:cs="Calibri"/>
                <w:kern w:val="0"/>
                <w:sz w:val="22"/>
                <w:szCs w:val="22"/>
              </w:rPr>
              <w:t>（六）因维修等需要停用建筑消防设施未进行公告、未制定应急预案或者未落实防范措施的；</w:t>
            </w:r>
          </w:p>
          <w:p>
            <w:pPr>
              <w:widowControl/>
              <w:spacing w:line="240" w:lineRule="exact"/>
              <w:ind w:firstLine="432" w:firstLineChars="200"/>
              <w:jc w:val="left"/>
              <w:rPr>
                <w:rFonts w:ascii="仿宋_GB2312" w:cs="Calibri"/>
                <w:color w:val="FF0000"/>
                <w:kern w:val="0"/>
                <w:sz w:val="22"/>
                <w:szCs w:val="22"/>
              </w:rPr>
            </w:pPr>
            <w:r>
              <w:rPr>
                <w:rFonts w:hint="eastAsia" w:ascii="仿宋_GB2312" w:cs="Calibri"/>
                <w:kern w:val="0"/>
                <w:sz w:val="22"/>
                <w:szCs w:val="22"/>
              </w:rPr>
              <w:t>（七）在高层民用建筑的公共门厅、疏散走道、楼梯间、安全出口停放电动自行车或者为电动自行车充电，拒不改正的。</w:t>
            </w:r>
          </w:p>
        </w:tc>
        <w:tc>
          <w:tcPr>
            <w:tcW w:w="296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cs="Calibri"/>
                <w:kern w:val="0"/>
                <w:sz w:val="22"/>
                <w:szCs w:val="22"/>
              </w:rPr>
            </w:pPr>
            <w:r>
              <w:rPr>
                <w:rFonts w:hint="eastAsia" w:ascii="仿宋_GB2312" w:cs="Calibri"/>
                <w:kern w:val="0"/>
                <w:sz w:val="22"/>
                <w:szCs w:val="22"/>
              </w:rPr>
              <w:t>第四十七条第一款第一项、第三项、第四项、第五项、第六项、第七项（不包含在城市道路上私拉电线和插座给电动车充电的行政处罚）</w:t>
            </w:r>
          </w:p>
        </w:tc>
      </w:tr>
    </w:tbl>
    <w:p>
      <w:pPr>
        <w:tabs>
          <w:tab w:val="left" w:pos="360"/>
          <w:tab w:val="left" w:pos="7560"/>
          <w:tab w:val="left" w:pos="8609"/>
        </w:tabs>
        <w:snapToGrid w:val="0"/>
        <w:spacing w:line="800" w:lineRule="exact"/>
        <w:rPr>
          <w:rFonts w:ascii="黑体" w:eastAsia="黑体"/>
          <w:szCs w:val="32"/>
        </w:rPr>
        <w:sectPr>
          <w:pgSz w:w="16840" w:h="11907" w:orient="landscape"/>
          <w:pgMar w:top="1418" w:right="1531" w:bottom="1418" w:left="1531" w:header="851" w:footer="1644" w:gutter="0"/>
          <w:cols w:space="720" w:num="1"/>
          <w:docGrid w:type="linesAndChars" w:linePitch="579" w:charSpace="-842"/>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F30F3"/>
    <w:rsid w:val="185F3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ind w:firstLine="420" w:firstLineChars="200"/>
    </w:pPr>
  </w:style>
  <w:style w:type="character" w:styleId="7">
    <w:name w:val="page number"/>
    <w:basedOn w:val="6"/>
    <w:qFormat/>
    <w:uiPriority w:val="0"/>
  </w:style>
  <w:style w:type="paragraph" w:customStyle="1" w:styleId="8">
    <w:name w:val="Char"/>
    <w:basedOn w:val="1"/>
    <w:qFormat/>
    <w:uiPriority w:val="0"/>
    <w:pPr>
      <w:widowControl/>
      <w:spacing w:after="160" w:line="240" w:lineRule="exact"/>
      <w:jc w:val="left"/>
    </w:pPr>
    <w:rPr>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2023-05-19T08:33:00Z</dcterms:created>
  <dc:creator>Administrator</dc:creator>
  <cp:lastModifiedBy>Administrator</cp:lastModifiedBy>
  <dcterms:modified xsi:type="dcterms:W3CDTF">2023-05-19T08:33:52Z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7F9E9071BCC348D3BE302E81D0C8965A</vt:lpwstr>
  </property>
</Properties>
</file>