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大南街道</w:t>
      </w: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20</w:t>
      </w:r>
      <w:r>
        <w:rPr>
          <w:rFonts w:hint="eastAsia" w:ascii="方正小标宋简体" w:hAnsi="方正小标宋简体" w:eastAsia="方正小标宋简体" w:cs="方正小标宋简体"/>
          <w:color w:val="000000"/>
          <w:kern w:val="0"/>
          <w:sz w:val="44"/>
          <w:szCs w:val="44"/>
        </w:rPr>
        <w:t>年政府信息公开工作</w:t>
      </w:r>
    </w:p>
    <w:p>
      <w:pPr>
        <w:widowControl/>
        <w:shd w:val="clear" w:color="auto" w:fill="FFFFFF"/>
        <w:spacing w:line="58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年度报告</w:t>
      </w:r>
    </w:p>
    <w:p>
      <w:pPr>
        <w:widowControl/>
        <w:shd w:val="clear" w:color="auto" w:fill="FFFFFF"/>
        <w:spacing w:line="580" w:lineRule="exact"/>
        <w:jc w:val="center"/>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中华人民共和国政府信息公开条例》和《浙江省政府信息公开暂行办法》的要求，特向社会公布2020年度本机关信息公开年度报告。本报告中所列数据的统计期限自2020年1月1日至12月31日。如对本年度报告有疑问，可与大南街道</w:t>
      </w:r>
      <w:r>
        <w:rPr>
          <w:rFonts w:hint="eastAsia" w:ascii="仿宋_GB2312" w:hAnsi="仿宋_GB2312" w:eastAsia="仿宋_GB2312" w:cs="仿宋_GB2312"/>
          <w:color w:val="333333"/>
          <w:kern w:val="0"/>
          <w:sz w:val="32"/>
          <w:szCs w:val="32"/>
          <w:lang w:eastAsia="zh-CN"/>
        </w:rPr>
        <w:t>党政办</w:t>
      </w:r>
      <w:r>
        <w:rPr>
          <w:rFonts w:hint="eastAsia" w:ascii="仿宋_GB2312" w:hAnsi="仿宋_GB2312" w:eastAsia="仿宋_GB2312" w:cs="仿宋_GB2312"/>
          <w:color w:val="333333"/>
          <w:kern w:val="0"/>
          <w:sz w:val="32"/>
          <w:szCs w:val="32"/>
        </w:rPr>
        <w:t>联系（电话：0577-55881057）。</w:t>
      </w: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widowControl/>
        <w:shd w:val="clear" w:color="auto" w:fill="FFFFFF"/>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以《中华人民共和国政府信息公开条例》为基础，按照《浙江省人民政府办公厅关于印发2019年浙江省政务公开工作要点的通知》 (浙政办发〔2019〕37号)、《温州市人民政府办公室关于进一步做好今年我市政务公开工作的通知》（温政办函〔2019〕13 号）等文件要求，认真贯彻国家、省、市关于全面推进信息公开工作的系列部署。坚持以公开为常态、不公开为例外，遵循公正、公平、合法、便民的原则，紧紧围绕区委、区政府中心工作和群众关注关切，以提升政务公开质量为主线，积极探索和推进决策、执行、管理、服务、结果的公开。</w:t>
      </w:r>
    </w:p>
    <w:p>
      <w:pPr>
        <w:widowControl/>
        <w:shd w:val="clear" w:color="auto" w:fill="FFFFFF"/>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（一）主动公开方面。</w:t>
      </w:r>
    </w:p>
    <w:p>
      <w:pPr>
        <w:widowControl/>
        <w:shd w:val="clear" w:color="auto" w:fill="FFFFFF"/>
        <w:spacing w:line="560" w:lineRule="exact"/>
        <w:ind w:firstLine="645"/>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2020年度，大南街道通过鹿城区政府信息公开网站、APP“掌上鹿城”、新浪微博等方式，及时发布公开我街道在日常工作、重点工作等方面的信息</w:t>
      </w:r>
      <w:r>
        <w:rPr>
          <w:rFonts w:hint="eastAsia" w:ascii="仿宋_GB2312" w:hAnsi="仿宋_GB2312" w:eastAsia="仿宋_GB2312" w:cs="仿宋_GB2312"/>
          <w:sz w:val="32"/>
          <w:szCs w:val="32"/>
          <w:lang w:eastAsia="zh-CN"/>
        </w:rPr>
        <w:t>。</w:t>
      </w:r>
    </w:p>
    <w:p>
      <w:pPr>
        <w:widowControl/>
        <w:shd w:val="clear" w:color="auto" w:fill="FFFFFF"/>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（二）依申请公开方面。</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规范依申请公开受理、审查、处理和答复程序，专门聘请法律顾问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对疑难案件及问题进行集体会商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切实做到依法有据、严谨规范、慎重稳妥。20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共收到政府信息公开依申请件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件，办结</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件，结转下年度继续办理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件。办结件中予以公开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件，无法提供</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年，因政府信息公开引起的行政诉讼件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件，撤回起诉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widowControl/>
        <w:shd w:val="clear" w:color="auto" w:fill="FFFFFF"/>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（三）政府信息管理方面。</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严格落实信息公开前的审查机制，按照谁起草谁负责审查的原则，确定公开属性。对信息平台发现的错别字、错误链接、错误描述第一时间整改。</w:t>
      </w:r>
    </w:p>
    <w:p>
      <w:pPr>
        <w:widowControl/>
        <w:shd w:val="clear" w:color="auto" w:fill="FFFFFF"/>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（四）平台建设方面。</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1.积极发挥政府网站作为信息公开第一平台作用。加强鹿城区政府信息公开网</w:t>
      </w:r>
      <w:r>
        <w:rPr>
          <w:rFonts w:hint="eastAsia" w:ascii="仿宋_GB2312" w:hAnsi="仿宋_GB2312" w:eastAsia="仿宋_GB2312" w:cs="仿宋_GB2312"/>
          <w:sz w:val="32"/>
          <w:szCs w:val="32"/>
          <w:lang w:eastAsia="zh-CN"/>
        </w:rPr>
        <w:t>“大南街道”板块</w:t>
      </w:r>
      <w:r>
        <w:rPr>
          <w:rFonts w:hint="eastAsia" w:ascii="仿宋_GB2312" w:hAnsi="仿宋_GB2312" w:eastAsia="仿宋_GB2312" w:cs="仿宋_GB2312"/>
          <w:sz w:val="32"/>
          <w:szCs w:val="32"/>
        </w:rPr>
        <w:t>建设，对公开指南、目录、年报以及需要主动公开的内容及时进行公开。</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2.深化政务新媒体平台建设。推进政务新媒体健康有序发展，</w:t>
      </w:r>
      <w:r>
        <w:rPr>
          <w:rFonts w:hint="eastAsia" w:ascii="仿宋_GB2312" w:hAnsi="仿宋_GB2312" w:eastAsia="仿宋_GB2312" w:cs="仿宋_GB2312"/>
          <w:sz w:val="32"/>
          <w:szCs w:val="32"/>
          <w:lang w:eastAsia="zh-CN"/>
        </w:rPr>
        <w:t>积极运用</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rPr>
        <w:t>“掌上鹿城”</w:t>
      </w:r>
      <w:r>
        <w:rPr>
          <w:rFonts w:hint="eastAsia" w:ascii="仿宋_GB2312" w:hAnsi="仿宋_GB2312" w:eastAsia="仿宋_GB2312" w:cs="仿宋_GB2312"/>
          <w:sz w:val="32"/>
          <w:szCs w:val="32"/>
          <w:lang w:eastAsia="zh-CN"/>
        </w:rPr>
        <w:t>和新浪微博公开重点领域信息</w:t>
      </w:r>
      <w:r>
        <w:rPr>
          <w:rFonts w:hint="eastAsia" w:ascii="仿宋_GB2312" w:hAnsi="仿宋_GB2312" w:eastAsia="仿宋_GB2312" w:cs="仿宋_GB2312"/>
          <w:sz w:val="32"/>
          <w:szCs w:val="32"/>
        </w:rPr>
        <w:t>。</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.健全线下公开渠道，进一步规范查阅点建设。在</w:t>
      </w:r>
      <w:r>
        <w:rPr>
          <w:rFonts w:hint="eastAsia" w:ascii="仿宋_GB2312" w:hAnsi="仿宋_GB2312" w:eastAsia="仿宋_GB2312" w:cs="仿宋_GB2312"/>
          <w:sz w:val="32"/>
          <w:szCs w:val="32"/>
          <w:lang w:eastAsia="zh-CN"/>
        </w:rPr>
        <w:t>大南党群服务中心和街道办事处</w:t>
      </w:r>
      <w:r>
        <w:rPr>
          <w:rFonts w:hint="eastAsia" w:ascii="仿宋_GB2312" w:hAnsi="仿宋_GB2312" w:eastAsia="仿宋_GB2312" w:cs="仿宋_GB2312"/>
          <w:sz w:val="32"/>
          <w:szCs w:val="32"/>
        </w:rPr>
        <w:t>建设信息公开查询点，为群众提供咨询、查询、公开申请等服务，利用现有的场地、人员、设备，实现资源共享，打造人民群众满意的“一点一特色”查阅点。</w:t>
      </w:r>
    </w:p>
    <w:p>
      <w:pPr>
        <w:widowControl/>
        <w:shd w:val="clear" w:color="auto" w:fill="FFFFFF"/>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（五）监督保障方面。</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建立健全监督保障机制。一是加强组织领导。由</w:t>
      </w:r>
      <w:r>
        <w:rPr>
          <w:rFonts w:hint="eastAsia" w:ascii="仿宋_GB2312" w:hAnsi="仿宋_GB2312" w:eastAsia="仿宋_GB2312" w:cs="仿宋_GB2312"/>
          <w:sz w:val="32"/>
          <w:szCs w:val="32"/>
          <w:lang w:eastAsia="zh-CN"/>
        </w:rPr>
        <w:t>党工委委员、街道办事处副主任朱川</w:t>
      </w:r>
      <w:r>
        <w:rPr>
          <w:rFonts w:hint="eastAsia" w:ascii="仿宋_GB2312" w:hAnsi="仿宋_GB2312" w:eastAsia="仿宋_GB2312" w:cs="仿宋_GB2312"/>
          <w:sz w:val="32"/>
          <w:szCs w:val="32"/>
        </w:rPr>
        <w:t>分管政务公开工作，并确定具体业务由</w:t>
      </w:r>
      <w:r>
        <w:rPr>
          <w:rFonts w:hint="eastAsia" w:ascii="仿宋_GB2312" w:hAnsi="仿宋_GB2312" w:eastAsia="仿宋_GB2312" w:cs="仿宋_GB2312"/>
          <w:sz w:val="32"/>
          <w:szCs w:val="32"/>
          <w:lang w:eastAsia="zh-CN"/>
        </w:rPr>
        <w:t>大南街道党政办</w:t>
      </w:r>
      <w:r>
        <w:rPr>
          <w:rFonts w:hint="eastAsia" w:ascii="仿宋_GB2312" w:hAnsi="仿宋_GB2312" w:eastAsia="仿宋_GB2312" w:cs="仿宋_GB2312"/>
          <w:sz w:val="32"/>
          <w:szCs w:val="32"/>
        </w:rPr>
        <w:t>负责，配齐科室人员力量。二是加强指导监督。</w:t>
      </w:r>
      <w:r>
        <w:rPr>
          <w:rFonts w:hint="eastAsia" w:ascii="仿宋_GB2312" w:hAnsi="仿宋_GB2312" w:eastAsia="仿宋_GB2312" w:cs="仿宋_GB2312"/>
          <w:sz w:val="32"/>
          <w:szCs w:val="32"/>
          <w:lang w:eastAsia="zh-CN"/>
        </w:rPr>
        <w:t>定期</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政府信息公开网节点更新情况和主动公开内容情况进行</w:t>
      </w:r>
      <w:r>
        <w:rPr>
          <w:rFonts w:hint="eastAsia" w:ascii="仿宋_GB2312" w:hAnsi="仿宋_GB2312" w:eastAsia="仿宋_GB2312" w:cs="仿宋_GB2312"/>
          <w:sz w:val="32"/>
          <w:szCs w:val="32"/>
          <w:lang w:eastAsia="zh-CN"/>
        </w:rPr>
        <w:t>自我</w:t>
      </w:r>
      <w:r>
        <w:rPr>
          <w:rFonts w:hint="eastAsia" w:ascii="仿宋_GB2312" w:hAnsi="仿宋_GB2312" w:eastAsia="仿宋_GB2312" w:cs="仿宋_GB2312"/>
          <w:sz w:val="32"/>
          <w:szCs w:val="32"/>
        </w:rPr>
        <w:t>检查。三是加强业务培训。</w:t>
      </w:r>
      <w:r>
        <w:rPr>
          <w:rFonts w:hint="eastAsia" w:ascii="仿宋_GB2312" w:hAnsi="仿宋_GB2312" w:eastAsia="仿宋_GB2312" w:cs="仿宋_GB2312"/>
          <w:sz w:val="32"/>
          <w:szCs w:val="32"/>
          <w:lang w:eastAsia="zh-CN"/>
        </w:rPr>
        <w:t>业务科室人员参与</w:t>
      </w:r>
      <w:r>
        <w:rPr>
          <w:rFonts w:hint="eastAsia" w:ascii="仿宋_GB2312" w:hAnsi="仿宋_GB2312" w:eastAsia="仿宋_GB2312" w:cs="仿宋_GB2312"/>
          <w:sz w:val="32"/>
          <w:szCs w:val="32"/>
        </w:rPr>
        <w:t>政务公开业务和依申请公开相关法律培训2次。</w:t>
      </w:r>
    </w:p>
    <w:p>
      <w:pPr>
        <w:widowControl/>
        <w:shd w:val="clear" w:color="auto" w:fill="FFFFFF"/>
        <w:ind w:firstLine="480"/>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rPr>
        <w:t>二、主动公开政府信息情况</w:t>
      </w:r>
    </w:p>
    <w:tbl>
      <w:tblPr>
        <w:tblStyle w:val="2"/>
        <w:tblW w:w="8140" w:type="dxa"/>
        <w:jc w:val="center"/>
        <w:tblLayout w:type="fixed"/>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87"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第二十条第（一）项</w:t>
            </w:r>
          </w:p>
        </w:tc>
      </w:tr>
      <w:tr>
        <w:tblPrEx>
          <w:tblCellMar>
            <w:top w:w="0" w:type="dxa"/>
            <w:left w:w="0" w:type="dxa"/>
            <w:bottom w:w="0" w:type="dxa"/>
            <w:right w:w="0" w:type="dxa"/>
          </w:tblCellMar>
        </w:tblPrEx>
        <w:trPr>
          <w:trHeight w:val="71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本年新</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kern w:val="0"/>
                <w:sz w:val="20"/>
                <w:szCs w:val="20"/>
              </w:rPr>
              <w:t>制作数量</w:t>
            </w:r>
          </w:p>
        </w:tc>
        <w:tc>
          <w:tcPr>
            <w:tcW w:w="1271"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本年新</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kern w:val="0"/>
                <w:sz w:val="20"/>
                <w:szCs w:val="20"/>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对外公开总数量</w:t>
            </w:r>
          </w:p>
        </w:tc>
      </w:tr>
      <w:tr>
        <w:tblPrEx>
          <w:tblCellMar>
            <w:top w:w="0" w:type="dxa"/>
            <w:left w:w="0" w:type="dxa"/>
            <w:bottom w:w="0" w:type="dxa"/>
            <w:right w:w="0" w:type="dxa"/>
          </w:tblCellMar>
        </w:tblPrEx>
        <w:trPr>
          <w:trHeight w:val="40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271"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r>
        <w:tblPrEx>
          <w:tblCellMar>
            <w:top w:w="0" w:type="dxa"/>
            <w:left w:w="0" w:type="dxa"/>
            <w:bottom w:w="0" w:type="dxa"/>
            <w:right w:w="0" w:type="dxa"/>
          </w:tblCellMar>
        </w:tblPrEx>
        <w:trPr>
          <w:trHeight w:val="40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271"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r>
        <w:tblPrEx>
          <w:tblCellMar>
            <w:top w:w="0" w:type="dxa"/>
            <w:left w:w="0" w:type="dxa"/>
            <w:bottom w:w="0" w:type="dxa"/>
            <w:right w:w="0" w:type="dxa"/>
          </w:tblCellMar>
        </w:tblPrEx>
        <w:trPr>
          <w:trHeight w:val="490" w:hRule="atLeast"/>
          <w:jc w:val="center"/>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第二十条第（五）项</w:t>
            </w:r>
          </w:p>
        </w:tc>
      </w:tr>
      <w:tr>
        <w:tblPrEx>
          <w:tblCellMar>
            <w:top w:w="0" w:type="dxa"/>
            <w:left w:w="0" w:type="dxa"/>
            <w:bottom w:w="0" w:type="dxa"/>
            <w:right w:w="0" w:type="dxa"/>
          </w:tblCellMar>
        </w:tblPrEx>
        <w:trPr>
          <w:trHeight w:val="41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处理决定数量</w:t>
            </w:r>
          </w:p>
        </w:tc>
      </w:tr>
      <w:tr>
        <w:tblPrEx>
          <w:tblCellMar>
            <w:top w:w="0" w:type="dxa"/>
            <w:left w:w="0" w:type="dxa"/>
            <w:bottom w:w="0" w:type="dxa"/>
            <w:right w:w="0" w:type="dxa"/>
          </w:tblCellMar>
        </w:tblPrEx>
        <w:trPr>
          <w:trHeight w:val="39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658</w:t>
            </w:r>
          </w:p>
        </w:tc>
      </w:tr>
      <w:tr>
        <w:tblPrEx>
          <w:tblCellMar>
            <w:top w:w="0" w:type="dxa"/>
            <w:left w:w="0" w:type="dxa"/>
            <w:bottom w:w="0" w:type="dxa"/>
            <w:right w:w="0" w:type="dxa"/>
          </w:tblCellMar>
        </w:tblPrEx>
        <w:trPr>
          <w:trHeight w:val="4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r>
      <w:tr>
        <w:tblPrEx>
          <w:tblCellMar>
            <w:top w:w="0" w:type="dxa"/>
            <w:left w:w="0" w:type="dxa"/>
            <w:bottom w:w="0" w:type="dxa"/>
            <w:right w:w="0" w:type="dxa"/>
          </w:tblCellMar>
        </w:tblPrEx>
        <w:trPr>
          <w:trHeight w:val="511" w:hRule="atLeast"/>
          <w:jc w:val="center"/>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7</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bookmarkStart w:id="0" w:name="_GoBack"/>
            <w:bookmarkEnd w:id="0"/>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16</w:t>
            </w:r>
          </w:p>
        </w:tc>
      </w:tr>
      <w:tr>
        <w:tblPrEx>
          <w:tblCellMar>
            <w:top w:w="0" w:type="dxa"/>
            <w:left w:w="0" w:type="dxa"/>
            <w:bottom w:w="0" w:type="dxa"/>
            <w:right w:w="0" w:type="dxa"/>
          </w:tblCellMar>
        </w:tblPrEx>
        <w:trPr>
          <w:trHeight w:val="34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r>
      <w:tr>
        <w:tblPrEx>
          <w:tblCellMar>
            <w:top w:w="0" w:type="dxa"/>
            <w:left w:w="0" w:type="dxa"/>
            <w:bottom w:w="0" w:type="dxa"/>
            <w:right w:w="0" w:type="dxa"/>
          </w:tblCellMar>
        </w:tblPrEx>
        <w:trPr>
          <w:trHeight w:val="549" w:hRule="atLeast"/>
          <w:jc w:val="center"/>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第二十条第（八）项</w:t>
            </w:r>
          </w:p>
        </w:tc>
      </w:tr>
      <w:tr>
        <w:tblPrEx>
          <w:tblCellMar>
            <w:top w:w="0" w:type="dxa"/>
            <w:left w:w="0" w:type="dxa"/>
            <w:bottom w:w="0" w:type="dxa"/>
            <w:right w:w="0" w:type="dxa"/>
          </w:tblCellMar>
        </w:tblPrEx>
        <w:trPr>
          <w:trHeight w:val="387"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本年增/减</w:t>
            </w:r>
          </w:p>
        </w:tc>
      </w:tr>
      <w:tr>
        <w:tblPrEx>
          <w:tblCellMar>
            <w:top w:w="0" w:type="dxa"/>
            <w:left w:w="0" w:type="dxa"/>
            <w:bottom w:w="0" w:type="dxa"/>
            <w:right w:w="0" w:type="dxa"/>
          </w:tblCellMar>
        </w:tblPrEx>
        <w:trPr>
          <w:trHeight w:val="41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r>
      <w:tr>
        <w:tblPrEx>
          <w:tblCellMar>
            <w:top w:w="0" w:type="dxa"/>
            <w:left w:w="0" w:type="dxa"/>
            <w:bottom w:w="0" w:type="dxa"/>
            <w:right w:w="0" w:type="dxa"/>
          </w:tblCellMar>
        </w:tblPrEx>
        <w:trPr>
          <w:trHeight w:val="529" w:hRule="atLeast"/>
          <w:jc w:val="center"/>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第二十条第（九）项</w:t>
            </w:r>
          </w:p>
        </w:tc>
      </w:tr>
      <w:tr>
        <w:tblPrEx>
          <w:tblCellMar>
            <w:top w:w="0" w:type="dxa"/>
            <w:left w:w="0" w:type="dxa"/>
            <w:bottom w:w="0" w:type="dxa"/>
            <w:right w:w="0" w:type="dxa"/>
          </w:tblCellMar>
        </w:tblPrEx>
        <w:trPr>
          <w:trHeight w:val="40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采购总金额</w:t>
            </w:r>
          </w:p>
        </w:tc>
      </w:tr>
      <w:tr>
        <w:tblPrEx>
          <w:tblCellMar>
            <w:top w:w="0" w:type="dxa"/>
            <w:left w:w="0" w:type="dxa"/>
            <w:bottom w:w="0" w:type="dxa"/>
            <w:right w:w="0" w:type="dxa"/>
          </w:tblCellMar>
        </w:tblPrEx>
        <w:trPr>
          <w:trHeight w:val="38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政府集中采购</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17</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color w:val="000000"/>
                <w:kern w:val="0"/>
                <w:sz w:val="20"/>
                <w:szCs w:val="20"/>
                <w:lang w:val="en-US" w:eastAsia="zh-CN"/>
              </w:rPr>
              <w:t>68.14万元</w:t>
            </w:r>
          </w:p>
        </w:tc>
      </w:tr>
    </w:tbl>
    <w:p>
      <w:pPr>
        <w:widowControl/>
        <w:shd w:val="clear" w:color="auto" w:fill="FFFFFF"/>
        <w:ind w:firstLine="480"/>
        <w:rPr>
          <w:rFonts w:hint="eastAsia" w:ascii="宋体" w:hAnsi="宋体" w:cs="宋体"/>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2"/>
        <w:tblW w:w="9071" w:type="dxa"/>
        <w:jc w:val="center"/>
        <w:tblLayout w:type="autofit"/>
        <w:tblCellMar>
          <w:top w:w="0" w:type="dxa"/>
          <w:left w:w="0" w:type="dxa"/>
          <w:bottom w:w="0" w:type="dxa"/>
          <w:right w:w="0" w:type="dxa"/>
        </w:tblCellMar>
      </w:tblPr>
      <w:tblGrid>
        <w:gridCol w:w="617"/>
        <w:gridCol w:w="854"/>
        <w:gridCol w:w="2396"/>
        <w:gridCol w:w="503"/>
        <w:gridCol w:w="755"/>
        <w:gridCol w:w="755"/>
        <w:gridCol w:w="882"/>
        <w:gridCol w:w="904"/>
        <w:gridCol w:w="711"/>
        <w:gridCol w:w="694"/>
      </w:tblGrid>
      <w:tr>
        <w:tblPrEx>
          <w:tblCellMar>
            <w:top w:w="0" w:type="dxa"/>
            <w:left w:w="0" w:type="dxa"/>
            <w:bottom w:w="0" w:type="dxa"/>
            <w:right w:w="0" w:type="dxa"/>
          </w:tblCellMar>
        </w:tblPrEx>
        <w:trPr>
          <w:jc w:val="center"/>
        </w:trPr>
        <w:tc>
          <w:tcPr>
            <w:tcW w:w="3867"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5204"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申请人情况</w:t>
            </w:r>
          </w:p>
        </w:tc>
      </w:tr>
      <w:tr>
        <w:tblPrEx>
          <w:tblCellMar>
            <w:top w:w="0" w:type="dxa"/>
            <w:left w:w="0" w:type="dxa"/>
            <w:bottom w:w="0" w:type="dxa"/>
            <w:right w:w="0" w:type="dxa"/>
          </w:tblCellMar>
        </w:tblPrEx>
        <w:trPr>
          <w:jc w:val="center"/>
        </w:trPr>
        <w:tc>
          <w:tcPr>
            <w:tcW w:w="386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50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自然人</w:t>
            </w:r>
          </w:p>
        </w:tc>
        <w:tc>
          <w:tcPr>
            <w:tcW w:w="400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r>
      <w:tr>
        <w:tblPrEx>
          <w:tblCellMar>
            <w:top w:w="0" w:type="dxa"/>
            <w:left w:w="0" w:type="dxa"/>
            <w:bottom w:w="0" w:type="dxa"/>
            <w:right w:w="0" w:type="dxa"/>
          </w:tblCellMar>
        </w:tblPrEx>
        <w:trPr>
          <w:jc w:val="center"/>
        </w:trPr>
        <w:tc>
          <w:tcPr>
            <w:tcW w:w="386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503"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科研机构</w:t>
            </w:r>
          </w:p>
        </w:tc>
        <w:tc>
          <w:tcPr>
            <w:tcW w:w="8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社会公益组织</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法律服务机构</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49" w:hRule="atLeast"/>
          <w:jc w:val="center"/>
        </w:trPr>
        <w:tc>
          <w:tcPr>
            <w:tcW w:w="386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一、本年新收政府信息公开申请数量</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kern w:val="0"/>
                <w:sz w:val="20"/>
                <w:szCs w:val="20"/>
                <w:lang w:val="en-US" w:eastAsia="zh-CN"/>
              </w:rPr>
              <w:t>6</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6</w:t>
            </w:r>
          </w:p>
        </w:tc>
      </w:tr>
      <w:tr>
        <w:tblPrEx>
          <w:tblCellMar>
            <w:top w:w="0" w:type="dxa"/>
            <w:left w:w="0" w:type="dxa"/>
            <w:bottom w:w="0" w:type="dxa"/>
            <w:right w:w="0" w:type="dxa"/>
          </w:tblCellMar>
        </w:tblPrEx>
        <w:trPr>
          <w:jc w:val="center"/>
        </w:trPr>
        <w:tc>
          <w:tcPr>
            <w:tcW w:w="386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二、上年结转政府信息公开申请数量</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trHeight w:val="90" w:hRule="atLeast"/>
          <w:jc w:val="center"/>
        </w:trPr>
        <w:tc>
          <w:tcPr>
            <w:tcW w:w="61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三、本年度办理结果</w:t>
            </w:r>
          </w:p>
        </w:tc>
        <w:tc>
          <w:tcPr>
            <w:tcW w:w="32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（一）予以公开</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4</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32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（二）部分公开（区分处理的，只计这一情形，不计其他情形）</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（三）不予公开</w:t>
            </w: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1.属于国家秘密</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2.其他法律行政法规禁止公开</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3.危及“三安全一稳定”</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4.保护第三方合法权益</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5.属于三类内部事务信息</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6.属于四类过程性信息</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7.属于行政执法案卷</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8.属于行政查询事项</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（四）无法提供</w:t>
            </w: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1.本机关不掌握相关政府信息</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2.没有现成信息需要另行制作</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3.补正后申请内容仍不明确</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（五）不予处理</w:t>
            </w: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1.信访举报投诉类申请</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2.重复申请</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3.要求提供公开出版物</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4.无正当理由大量反复申请</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2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5.要求行政机关确认或重新出具已获取信息</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32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（六）其他处理</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32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（七）总计</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386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四、结转下年度继续办理</w:t>
            </w:r>
          </w:p>
        </w:tc>
        <w:tc>
          <w:tcPr>
            <w:tcW w:w="5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 xml:space="preserve">  1</w:t>
            </w:r>
          </w:p>
        </w:tc>
      </w:tr>
    </w:tbl>
    <w:p>
      <w:pPr>
        <w:widowControl/>
        <w:shd w:val="clear" w:color="auto" w:fill="FFFFFF"/>
        <w:ind w:firstLine="480"/>
        <w:rPr>
          <w:rFonts w:hint="eastAsia" w:ascii="宋体" w:hAnsi="宋体" w:cs="宋体"/>
          <w:color w:val="333333"/>
          <w:kern w:val="0"/>
          <w:sz w:val="24"/>
          <w:szCs w:val="24"/>
        </w:rPr>
      </w:pPr>
    </w:p>
    <w:p>
      <w:pPr>
        <w:rPr>
          <w:rFonts w:hint="eastAsia" w:ascii="宋体" w:hAnsi="宋体" w:cs="宋体"/>
          <w:b/>
          <w:bCs/>
          <w:color w:val="333333"/>
          <w:kern w:val="0"/>
          <w:sz w:val="24"/>
          <w:szCs w:val="24"/>
        </w:rPr>
      </w:pPr>
      <w:r>
        <w:rPr>
          <w:rFonts w:hint="eastAsia" w:ascii="宋体" w:hAnsi="宋体" w:cs="宋体"/>
          <w:b/>
          <w:bCs/>
          <w:color w:val="333333"/>
          <w:kern w:val="0"/>
          <w:sz w:val="24"/>
          <w:szCs w:val="24"/>
        </w:rPr>
        <w:br w:type="page"/>
      </w: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fill="FFFFFF"/>
        <w:ind w:firstLine="480"/>
        <w:rPr>
          <w:rFonts w:hint="eastAsia" w:ascii="宋体" w:hAnsi="宋体" w:cs="宋体"/>
          <w:color w:val="333333"/>
          <w:kern w:val="0"/>
          <w:sz w:val="24"/>
          <w:szCs w:val="24"/>
        </w:rPr>
      </w:pP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658"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r>
      <w:tr>
        <w:tblPrEx>
          <w:tblCellMar>
            <w:top w:w="0" w:type="dxa"/>
            <w:left w:w="0" w:type="dxa"/>
            <w:bottom w:w="0" w:type="dxa"/>
            <w:right w:w="0" w:type="dxa"/>
          </w:tblCellMar>
        </w:tblPrEx>
        <w:trPr>
          <w:trHeight w:val="658" w:hRule="atLeast"/>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kern w:val="0"/>
                <w:sz w:val="20"/>
                <w:szCs w:val="20"/>
                <w:lang w:val="en-US" w:eastAsia="zh-CN"/>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bl>
    <w:p>
      <w:pPr>
        <w:widowControl/>
        <w:shd w:val="clear" w:color="auto" w:fill="FFFFFF"/>
        <w:jc w:val="center"/>
        <w:rPr>
          <w:rFonts w:hint="eastAsia" w:ascii="宋体" w:hAnsi="宋体" w:cs="宋体"/>
          <w:color w:val="333333"/>
          <w:kern w:val="0"/>
          <w:sz w:val="24"/>
          <w:szCs w:val="24"/>
        </w:rPr>
      </w:pP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五、存在的主要问题及改进情况</w:t>
      </w:r>
    </w:p>
    <w:p>
      <w:pPr>
        <w:widowControl/>
        <w:shd w:val="clear" w:color="auto" w:fill="FFFFFF"/>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（一）存在的问题</w:t>
      </w:r>
      <w:r>
        <w:rPr>
          <w:rFonts w:hint="eastAsia" w:ascii="楷体_GB2312" w:hAnsi="楷体_GB2312" w:eastAsia="楷体_GB2312" w:cs="楷体_GB2312"/>
          <w:sz w:val="32"/>
          <w:szCs w:val="32"/>
          <w:lang w:eastAsia="zh-CN"/>
        </w:rPr>
        <w:t>。</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rPr>
        <w:t>人员配置不固定。虽配备具体工作人员，但变动频繁，工作缺失系统性和连贯性。二是</w:t>
      </w:r>
      <w:r>
        <w:rPr>
          <w:rFonts w:hint="eastAsia" w:ascii="仿宋_GB2312" w:hAnsi="仿宋_GB2312" w:eastAsia="仿宋_GB2312" w:cs="仿宋_GB2312"/>
          <w:sz w:val="32"/>
          <w:szCs w:val="32"/>
        </w:rPr>
        <w:t>难度逐年加大。在依申请公开工作中，办理的复杂性和难度不断加大，数量也不断攀升；对政府信息公开的内容、范围</w:t>
      </w:r>
      <w:r>
        <w:rPr>
          <w:rFonts w:hint="eastAsia" w:ascii="仿宋_GB2312" w:hAnsi="仿宋_GB2312" w:eastAsia="仿宋_GB2312" w:cs="仿宋_GB2312"/>
          <w:sz w:val="32"/>
          <w:szCs w:val="32"/>
          <w:lang w:eastAsia="zh-CN"/>
        </w:rPr>
        <w:t>易出现把握不准的情况。</w:t>
      </w:r>
    </w:p>
    <w:p>
      <w:pPr>
        <w:widowControl/>
        <w:shd w:val="clear" w:color="auto" w:fill="FFFFFF"/>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（二）下一步工作举措</w:t>
      </w:r>
      <w:r>
        <w:rPr>
          <w:rFonts w:hint="eastAsia" w:ascii="楷体_GB2312" w:hAnsi="楷体_GB2312" w:eastAsia="楷体_GB2312" w:cs="楷体_GB2312"/>
          <w:sz w:val="32"/>
          <w:szCs w:val="32"/>
          <w:lang w:eastAsia="zh-CN"/>
        </w:rPr>
        <w:t>。</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强化组织领导。配齐配强工作人员，着力打造一支政治素质好、业务能力强、人员相对稳定的过硬队伍。单位主要负责人要高度重视，经常听取汇报，研究解决问题；分管负责人要直接参与，亲自抓，确保各项任务顺利完成。</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二是进一步加强督促检查。要对照要求，查找薄弱环节，狠抓工作落实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促进政府信息公开工作水平整体提高。</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三是进一步加大培训力度。</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观摩示范点、研讨交流等多种方式，进一步提升</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政务公开工作队伍的整体水平；积极主动对接</w:t>
      </w:r>
      <w:r>
        <w:rPr>
          <w:rFonts w:hint="eastAsia" w:ascii="仿宋_GB2312" w:hAnsi="仿宋_GB2312" w:eastAsia="仿宋_GB2312" w:cs="仿宋_GB2312"/>
          <w:sz w:val="32"/>
          <w:szCs w:val="32"/>
          <w:lang w:eastAsia="zh-CN"/>
        </w:rPr>
        <w:t>政务公开业务能力较强的单位</w:t>
      </w:r>
      <w:r>
        <w:rPr>
          <w:rFonts w:hint="eastAsia" w:ascii="仿宋_GB2312" w:hAnsi="仿宋_GB2312" w:eastAsia="仿宋_GB2312" w:cs="仿宋_GB2312"/>
          <w:sz w:val="32"/>
          <w:szCs w:val="32"/>
        </w:rPr>
        <w:t>，及时解决疑难困惑。</w:t>
      </w:r>
    </w:p>
    <w:p>
      <w:pPr>
        <w:widowControl/>
        <w:shd w:val="clear" w:color="auto" w:fill="FFFFFF"/>
        <w:ind w:firstLine="480"/>
        <w:rPr>
          <w:rFonts w:hint="eastAsia" w:ascii="黑体" w:hAnsi="黑体" w:eastAsia="黑体" w:cs="黑体"/>
          <w:b/>
          <w:bCs/>
          <w:color w:val="333333"/>
          <w:kern w:val="0"/>
          <w:sz w:val="32"/>
          <w:szCs w:val="32"/>
        </w:rPr>
      </w:pP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widowControl/>
        <w:shd w:val="clear" w:color="auto" w:fill="FFFFFF"/>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暂无其他需要报告的事项。</w:t>
      </w:r>
    </w:p>
    <w:p>
      <w:pPr>
        <w:widowControl/>
        <w:shd w:val="clear" w:color="auto" w:fill="FFFFFF"/>
        <w:spacing w:line="560" w:lineRule="exact"/>
        <w:ind w:firstLine="645"/>
        <w:jc w:val="left"/>
        <w:rPr>
          <w:rFonts w:hint="eastAsia" w:ascii="仿宋_GB2312" w:hAnsi="仿宋_GB2312" w:eastAsia="仿宋_GB2312" w:cs="仿宋_GB2312"/>
          <w:sz w:val="32"/>
          <w:szCs w:val="32"/>
        </w:rPr>
      </w:pPr>
    </w:p>
    <w:p>
      <w:pPr>
        <w:widowControl/>
        <w:shd w:val="clear" w:color="auto" w:fill="FFFFFF"/>
        <w:spacing w:line="560" w:lineRule="exact"/>
        <w:ind w:firstLine="645"/>
        <w:jc w:val="left"/>
        <w:rPr>
          <w:rFonts w:hint="eastAsia" w:ascii="仿宋_GB2312" w:hAnsi="仿宋_GB2312" w:eastAsia="仿宋_GB2312" w:cs="仿宋_GB2312"/>
          <w:sz w:val="32"/>
          <w:szCs w:val="32"/>
        </w:rPr>
      </w:pPr>
    </w:p>
    <w:p>
      <w:pPr>
        <w:widowControl/>
        <w:shd w:val="clear" w:color="auto" w:fill="FFFFFF"/>
        <w:spacing w:line="560" w:lineRule="exact"/>
        <w:ind w:firstLine="645"/>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温州市鹿城区人民政府大南街道办事处</w:t>
      </w:r>
    </w:p>
    <w:p>
      <w:pPr>
        <w:widowControl/>
        <w:shd w:val="clear" w:color="auto" w:fill="FFFFFF"/>
        <w:spacing w:line="560" w:lineRule="exact"/>
        <w:ind w:firstLine="645"/>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279B7"/>
    <w:rsid w:val="01DF10EE"/>
    <w:rsid w:val="03E83571"/>
    <w:rsid w:val="080B1069"/>
    <w:rsid w:val="0D1D67C8"/>
    <w:rsid w:val="1EE279B7"/>
    <w:rsid w:val="28A51C42"/>
    <w:rsid w:val="2CFE2829"/>
    <w:rsid w:val="47AC0655"/>
    <w:rsid w:val="4C1826B5"/>
    <w:rsid w:val="5D93529E"/>
    <w:rsid w:val="6C7D4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2021-01-12T03:04:00Z</dcterms:created>
  <dc:creator>Mushroom。</dc:creator>
  <cp:lastModifiedBy>黄琦璇</cp:lastModifiedBy>
  <cp:lastPrinted>2021-01-13T01:54:00Z</cp:lastPrinted>
  <dcterms:modified xsi:type="dcterms:W3CDTF">2021-01-13T06:58:19Z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