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温州市鹿城区人民政府滨江街道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办事处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24" w:firstLineChars="19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24" w:firstLineChars="19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根据《中华人民共和国政府信息公开条例》的规定,现公开温州市鹿城区人民政府滨江街道办事处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年政府信息公开工作年度报告。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本年度报告由政府信息公开工作的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总体情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况、主动公开政府信息情况、收到和处理政府信息公开申请情况、政府信息公开行政复议、行政诉讼情况、存在的主要问题及改进措施等方面内容组成。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4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年度报告统计时间段为20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年1月1日至20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年12月31日，鹿城政府网站（www.lucheng.gov.cn）可下载本报告的电子版。如对本年度报告有任何疑问，请与温州市鹿城区街道办事处办公室联系（地址：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温州市鹿城区聚源路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；邮编：325000；电话：0577-5558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5919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总体情况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年，滨江街道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根据《202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年政务公开工作要点》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切实加强组织领导,采取有效措施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。围绕重点领域信息公开、基础信息公开、政策解读、决策和执行公开等方面，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积极推进政府信息公开工作, 在加强制度建设、深化公开内容、拓展公开形式等方面取得了较好成效。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00" w:leftChars="0"/>
        <w:textAlignment w:val="auto"/>
        <w:rPr>
          <w:rFonts w:hint="eastAsia" w:ascii="楷体_GB2312" w:hAnsi="宋体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_GB2312" w:hAnsi="宋体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主动公开信息情况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年，滨江街道通过信息公开平台公开政府信息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条；通过政务微信公开政务信息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条；通过政务微博公开政务信息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掌上鹿城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APP发布信息578条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。内容囊括工作动态类信息、通知公告、人事任免、机构设置、政府财政预算、民生实事等。特别是对涉及到民政、社保等民生工程和政府财政预算、政府采购等重点领域的信息做到及时、主动公开。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146685</wp:posOffset>
            </wp:positionV>
            <wp:extent cx="4337685" cy="3000375"/>
            <wp:effectExtent l="4445" t="4445" r="20320" b="62230"/>
            <wp:wrapSquare wrapText="bothSides"/>
            <wp:docPr id="1" name="图表 1" descr="7b0a202020202263686172745265734964223a20223230343732313936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ascii="楷体_GB2312" w:hAnsi="宋体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ascii="楷体_GB2312" w:hAnsi="宋体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ascii="楷体_GB2312" w:hAnsi="宋体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ascii="楷体_GB2312" w:hAnsi="宋体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ascii="楷体_GB2312" w:hAnsi="宋体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00" w:leftChars="0"/>
        <w:textAlignment w:val="auto"/>
        <w:rPr>
          <w:rFonts w:hint="eastAsia" w:ascii="楷体_GB2312" w:hAnsi="宋体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宋体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（二）依申请公开工作情况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ascii="楷体_GB2312" w:hAnsi="宋体" w:eastAsia="楷体_GB2312" w:cs="楷体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畅通政府信息依申请公开受理渠道，，规范依申请公开受理、审查、处理和答复程序。2021年，滨街道办结依申请公开件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件（含上年结转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件），办结件中无法提供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件。因政府信息公开引起的诉讼件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件,败诉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00" w:firstLineChars="0"/>
        <w:textAlignment w:val="auto"/>
        <w:rPr>
          <w:rFonts w:hint="eastAsia" w:ascii="楷体_GB2312" w:hAnsi="宋体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宋体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政府信息公开管理情况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ascii="楷体_GB2312" w:hAnsi="宋体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滨江街道高度重视政府信息公开工作，按照政务公开管理体制和工作机制，在区政务公开中心的领导下开展工作。街道党政办为具体的工作机构，并明确专人从事政府信息公开工作，各科室、各社区（经合社）明确专人为政府信息公开工作联络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00" w:firstLineChars="0"/>
        <w:textAlignment w:val="auto"/>
        <w:rPr>
          <w:rFonts w:hint="eastAsia" w:ascii="楷体_GB2312" w:hAnsi="宋体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宋体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政府信息公开平台建设情况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积极发挥政府网站作为信息公开第一平台作用，集中发布公开指南、目录、年报以及需要主动公开的政府信息，优化查询检索功能，提升公众体验满意度。设置查阅点，方便群众申请公开政府信息，并对照“三定”方案规定，全面梳理本单位机构职能公开情况，依法公开本单位工作职能、机构设置、办公地址、办公时间、联系方式、负责人姓名等信息。加强政府网站和政务新媒体建设管理，根据区政务公开中心的要求，发布信息前先将信息上传政务新媒体平台进行审核，审核通过后及时发布信息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105410</wp:posOffset>
            </wp:positionV>
            <wp:extent cx="4933950" cy="3321050"/>
            <wp:effectExtent l="0" t="0" r="0" b="12700"/>
            <wp:wrapSquare wrapText="bothSides"/>
            <wp:docPr id="2" name="图片 2" descr="C:/Users/Administrator/AppData/Local/Temp/picturecompress_20220124161540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istrator/AppData/Local/Temp/picturecompress_20220124161540/output_1.jpgoutput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429895</wp:posOffset>
            </wp:positionV>
            <wp:extent cx="4886325" cy="4185920"/>
            <wp:effectExtent l="0" t="0" r="5080" b="9525"/>
            <wp:wrapSquare wrapText="bothSides"/>
            <wp:docPr id="3" name="图片 3" descr="C:/Users/Administrator/AppData/Local/Temp/picturecompress_20220124161649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Users/Administrator/AppData/Local/Temp/picturecompress_20220124161649/output_1.jpgoutput_1"/>
                    <pic:cNvPicPr>
                      <a:picLocks noChangeAspect="1"/>
                    </pic:cNvPicPr>
                  </pic:nvPicPr>
                  <pic:blipFill>
                    <a:blip r:embed="rId7"/>
                    <a:srcRect l="9727" t="-228" r="2730" b="22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86325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tabs>
          <w:tab w:val="right" w:pos="82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600" w:firstLineChars="0"/>
        <w:textAlignment w:val="auto"/>
        <w:rPr>
          <w:rFonts w:hint="eastAsia" w:ascii="楷体_GB2312" w:hAnsi="宋体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宋体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监督保障</w:t>
      </w:r>
      <w:r>
        <w:rPr>
          <w:rFonts w:hint="eastAsia" w:asci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ab/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严格按照市、区有关政府信息公开的文件精神和工作部署，落实规范门户网站信息发布审核要求，进一步完善政府信息公开工作相关管理制度，加强政府信息规范化管理。严格落实保密审查制度，加强主动公开。及时梳理更新信息公开目录，规范信息公开内容，建立政府信息公开工作长效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69"/>
        <w:gridCol w:w="1496"/>
        <w:gridCol w:w="16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本年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制发件数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本年废止件数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现行有效件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4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943"/>
        <w:gridCol w:w="3211"/>
        <w:gridCol w:w="687"/>
        <w:gridCol w:w="687"/>
        <w:gridCol w:w="687"/>
        <w:gridCol w:w="687"/>
        <w:gridCol w:w="694"/>
        <w:gridCol w:w="687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 w:firstLine="200" w:firstLineChars="10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pPr w:leftFromText="180" w:rightFromText="180" w:vertAnchor="text" w:horzAnchor="page" w:tblpX="1790" w:tblpY="259"/>
        <w:tblOverlap w:val="never"/>
        <w:tblW w:w="907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  一是政务信息公开力度有待进一步加大；二是政务信息公开的内容还不够全面；三是信息公开更新还不够及时。下一步，我街道将全面提高对政府信息公开工作的认识，切实加强领导，强化工作机构职能，确保工作常态化，持续抓好重点领域信息公开；严格按照政府信息公开相关文件要求，加强工作指导，用好用足各级政府信息公开查阅点，做到信息公开数量充足，栏目齐全，更新及时，内容使用，切实提高公开信息的质量和水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本年度本机关未收取政府信息公开处理费，无其他需要报告的事项。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pgSz w:w="11906" w:h="16838"/>
      <w:pgMar w:top="1984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8FCAE9"/>
    <w:multiLevelType w:val="singleLevel"/>
    <w:tmpl w:val="B68FCAE9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637BF"/>
    <w:rsid w:val="053355F2"/>
    <w:rsid w:val="057721FB"/>
    <w:rsid w:val="05AA040B"/>
    <w:rsid w:val="06823015"/>
    <w:rsid w:val="085A0C5E"/>
    <w:rsid w:val="092C55A4"/>
    <w:rsid w:val="0A075F09"/>
    <w:rsid w:val="0A3071F0"/>
    <w:rsid w:val="0C05677E"/>
    <w:rsid w:val="0D681373"/>
    <w:rsid w:val="0EA713C4"/>
    <w:rsid w:val="136046DE"/>
    <w:rsid w:val="14724FFB"/>
    <w:rsid w:val="14E3616D"/>
    <w:rsid w:val="155D6135"/>
    <w:rsid w:val="1738519D"/>
    <w:rsid w:val="192A7304"/>
    <w:rsid w:val="1DB860C2"/>
    <w:rsid w:val="2618286D"/>
    <w:rsid w:val="26C960BF"/>
    <w:rsid w:val="2C18421A"/>
    <w:rsid w:val="2CBD0053"/>
    <w:rsid w:val="2CF3049A"/>
    <w:rsid w:val="2D053310"/>
    <w:rsid w:val="2EBD50A5"/>
    <w:rsid w:val="329A0E18"/>
    <w:rsid w:val="33FA125E"/>
    <w:rsid w:val="3431105B"/>
    <w:rsid w:val="34AF2977"/>
    <w:rsid w:val="35F25212"/>
    <w:rsid w:val="36A4227C"/>
    <w:rsid w:val="36F3164D"/>
    <w:rsid w:val="371E1A01"/>
    <w:rsid w:val="389600D6"/>
    <w:rsid w:val="39B355E0"/>
    <w:rsid w:val="3EA90A54"/>
    <w:rsid w:val="412474C0"/>
    <w:rsid w:val="418B7E26"/>
    <w:rsid w:val="422D1259"/>
    <w:rsid w:val="4280593C"/>
    <w:rsid w:val="42CA25B3"/>
    <w:rsid w:val="45010FCD"/>
    <w:rsid w:val="459E60A6"/>
    <w:rsid w:val="45B64971"/>
    <w:rsid w:val="46A305A5"/>
    <w:rsid w:val="48FB19FE"/>
    <w:rsid w:val="4A4D7683"/>
    <w:rsid w:val="4A694957"/>
    <w:rsid w:val="4CD30067"/>
    <w:rsid w:val="4D200FEF"/>
    <w:rsid w:val="4D295043"/>
    <w:rsid w:val="4EAD44EF"/>
    <w:rsid w:val="50745C99"/>
    <w:rsid w:val="5094664B"/>
    <w:rsid w:val="53E602B5"/>
    <w:rsid w:val="552078AA"/>
    <w:rsid w:val="56B6339E"/>
    <w:rsid w:val="56D657EB"/>
    <w:rsid w:val="5B5E2491"/>
    <w:rsid w:val="5D052A89"/>
    <w:rsid w:val="61822F5E"/>
    <w:rsid w:val="61E23B14"/>
    <w:rsid w:val="66875390"/>
    <w:rsid w:val="69041FFE"/>
    <w:rsid w:val="6A7D60C3"/>
    <w:rsid w:val="6BA602DC"/>
    <w:rsid w:val="6D6F7E94"/>
    <w:rsid w:val="6E4066F7"/>
    <w:rsid w:val="6F236FBB"/>
    <w:rsid w:val="713C2F54"/>
    <w:rsid w:val="742F7357"/>
    <w:rsid w:val="75437F6D"/>
    <w:rsid w:val="758E543B"/>
    <w:rsid w:val="762D3121"/>
    <w:rsid w:val="771161C1"/>
    <w:rsid w:val="7A0C1A92"/>
    <w:rsid w:val="7AFE508C"/>
    <w:rsid w:val="7D9A5540"/>
    <w:rsid w:val="7DA35DEE"/>
    <w:rsid w:val="7DF6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00459674049311"/>
          <c:y val="0.25974025974026"/>
          <c:w val="0.408552723220504"/>
          <c:h val="0.69256198347107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rgbClr val="859949"/>
            </a:solidFill>
            <a:ln w="31750">
              <a:solidFill>
                <a:schemeClr val="bg1">
                  <a:alpha val="42000"/>
                </a:schemeClr>
              </a:solidFill>
            </a:ln>
          </c:spPr>
          <c:explosion val="0"/>
          <c:dPt>
            <c:idx val="0"/>
            <c:bubble3D val="0"/>
            <c:spPr>
              <a:solidFill>
                <a:srgbClr val="365B7C"/>
              </a:solidFill>
              <a:ln w="31750">
                <a:solidFill>
                  <a:schemeClr val="bg1">
                    <a:alpha val="42000"/>
                  </a:schemeClr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966480"/>
              </a:solidFill>
              <a:ln w="31750">
                <a:solidFill>
                  <a:schemeClr val="bg1">
                    <a:alpha val="42000"/>
                  </a:schemeClr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D06F83"/>
              </a:solidFill>
              <a:ln w="31750">
                <a:solidFill>
                  <a:schemeClr val="bg1">
                    <a:alpha val="42000"/>
                  </a:schemeClr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DD5F71"/>
              </a:solidFill>
              <a:ln w="31750">
                <a:solidFill>
                  <a:schemeClr val="bg1">
                    <a:alpha val="42000"/>
                  </a:schemeClr>
                </a:solidFill>
              </a:ln>
              <a:effectLst/>
            </c:spPr>
          </c:dPt>
          <c:dLbls>
            <c:dLbl>
              <c:idx val="3"/>
              <c:layout>
                <c:manualLayout>
                  <c:x val="0.0462813979650476"/>
                  <c:y val="-0.064714971346244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 forceAA="0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bg1"/>
                        </a:solidFill>
                        <a:latin typeface="微软雅黑" panose="020B0503020204020204" pitchFamily="34" charset="-122"/>
                        <a:ea typeface="微软雅黑" panose="020B0503020204020204" pitchFamily="34" charset="-122"/>
                        <a:cs typeface="微软雅黑" panose="020B0503020204020204" pitchFamily="34" charset="-122"/>
                        <a:sym typeface="微软雅黑" panose="020B0503020204020204" pitchFamily="34" charset="-122"/>
                      </a:defRPr>
                    </a:pPr>
                    <a:r>
                      <a:rPr lang="en-US" altLang="zh-CN"/>
                      <a:t>81%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zh-CN" sz="900" b="0" i="0" u="none" strike="noStrike" kern="1200" baseline="0">
                    <a:solidFill>
                      <a:schemeClr val="bg1"/>
                    </a:solidFill>
                    <a:latin typeface="微软雅黑" panose="020B0503020204020204" pitchFamily="34" charset="-122"/>
                    <a:ea typeface="微软雅黑" panose="020B0503020204020204" pitchFamily="34" charset="-122"/>
                    <a:cs typeface="微软雅黑" panose="020B0503020204020204" pitchFamily="34" charset="-122"/>
                    <a:sym typeface="微软雅黑" panose="020B0503020204020204" pitchFamily="34" charset="-122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信息公开平台公开</c:v>
                </c:pt>
                <c:pt idx="1">
                  <c:v>政务微信公开</c:v>
                </c:pt>
                <c:pt idx="2">
                  <c:v>政务微博公开</c:v>
                </c:pt>
                <c:pt idx="3">
                  <c:v>掌上鹿城APP公开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48</c:v>
                </c:pt>
                <c:pt idx="1">
                  <c:v>40</c:v>
                </c:pt>
                <c:pt idx="2">
                  <c:v>42</c:v>
                </c:pt>
                <c:pt idx="3">
                  <c:v>578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0605021684233641"/>
          <c:y val="0.15384920634920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微软雅黑" panose="020B0503020204020204" pitchFamily="34" charset="-122"/>
              <a:sym typeface="微软雅黑" panose="020B0503020204020204" pitchFamily="34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>
          <a:solidFill>
            <a:schemeClr val="tx1">
              <a:lumMod val="65000"/>
              <a:lumOff val="35000"/>
            </a:schemeClr>
          </a:solidFill>
          <a:latin typeface="微软雅黑" panose="020B0503020204020204" pitchFamily="34" charset="-122"/>
          <a:ea typeface="微软雅黑" panose="020B0503020204020204" pitchFamily="34" charset="-122"/>
          <a:cs typeface="微软雅黑" panose="020B0503020204020204" pitchFamily="34" charset="-122"/>
          <a:sym typeface="微软雅黑" panose="020B0503020204020204" pitchFamily="34" charset="-122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2021-01-14T04:59:00Z</dcterms:created>
  <dc:creator>Administrator</dc:creator>
  <cp:lastModifiedBy>kim童-JT</cp:lastModifiedBy>
  <dcterms:modified xsi:type="dcterms:W3CDTF">2022-02-18T07:50:27Z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3B4E7A60585C453DBFB56F4D06A2F156</vt:lpwstr>
  </property>
</Properties>
</file>