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r>
        <w:rPr>
          <w:rStyle w:val="7"/>
          <w:rFonts w:hint="eastAsia" w:ascii="黑体" w:hAnsi="黑体" w:eastAsia="黑体"/>
          <w:sz w:val="44"/>
          <w:szCs w:val="44"/>
        </w:rPr>
        <w:t>温州市鹿城区综合行政执法局</w:t>
      </w:r>
      <w:r>
        <w:rPr>
          <w:rStyle w:val="7"/>
          <w:rFonts w:hint="eastAsia" w:ascii="黑体" w:eastAsia="黑体"/>
          <w:sz w:val="44"/>
          <w:szCs w:val="44"/>
        </w:rPr>
        <w:t xml:space="preserve">(汇总)2019年度部门决算 </w:t>
      </w:r>
    </w:p>
    <w:p>
      <w:pPr>
        <w:pStyle w:val="6"/>
      </w:pPr>
      <w:r>
        <w:rPr>
          <w:rFonts w:hint="eastAsia"/>
        </w:rPr>
        <w:t xml:space="preserve"> </w:t>
      </w:r>
    </w:p>
    <w:p>
      <w:pPr>
        <w:pStyle w:val="6"/>
      </w:pPr>
      <w:r>
        <w:rPr>
          <w:rFonts w:hint="eastAsia"/>
        </w:rPr>
        <w:t xml:space="preserve"> </w:t>
      </w:r>
    </w:p>
    <w:p>
      <w:pPr>
        <w:spacing w:line="600" w:lineRule="atLeast"/>
        <w:ind w:firstLine="640"/>
        <w:jc w:val="both"/>
      </w:pPr>
      <w:r>
        <w:rPr>
          <w:rStyle w:val="7"/>
          <w:rFonts w:hint="eastAsia" w:ascii="黑体" w:hAnsi="黑体" w:eastAsia="黑体"/>
          <w:sz w:val="32"/>
          <w:szCs w:val="32"/>
        </w:rPr>
        <w:t>一、温州市鹿城区综合行政执法局</w:t>
      </w:r>
      <w:r>
        <w:rPr>
          <w:rStyle w:val="7"/>
          <w:rFonts w:hint="eastAsia" w:ascii="黑体" w:eastAsia="黑体" w:cs="Arial"/>
          <w:sz w:val="32"/>
          <w:szCs w:val="32"/>
        </w:rPr>
        <w:t>(汇总)概况</w:t>
      </w:r>
    </w:p>
    <w:p>
      <w:pPr>
        <w:spacing w:line="600" w:lineRule="atLeast"/>
        <w:ind w:firstLine="640"/>
        <w:jc w:val="both"/>
      </w:pPr>
      <w:r>
        <w:rPr>
          <w:rStyle w:val="7"/>
          <w:rFonts w:hint="eastAsia" w:ascii="楷体" w:hAnsi="楷体" w:eastAsia="楷体"/>
          <w:sz w:val="32"/>
          <w:szCs w:val="32"/>
        </w:rPr>
        <w:t>（一）部门职责</w:t>
      </w:r>
    </w:p>
    <w:p>
      <w:pPr>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ascii="仿宋_GB2312" w:hAnsi="仿宋_GB2312"/>
          <w:color w:val="000000"/>
          <w:sz w:val="32"/>
          <w:szCs w:val="32"/>
        </w:rPr>
        <w:t>城市管理方面：负责全区市容环卫、市政、公用事业（城市供水与公共客运除外）、绿化的行业管理与市容环卫、绿化方面相关企事业单位的资质管理；负责全区市容环卫、市政、公用事业（城市供水与公共客运除外）等基础设施的维护监管及相关的行政许可审批事项；负责区管绿化项目的建设、维护及相关的行政许可审批事项；负责数字城管建设与运行的对接工作；负责城市管理问题的受理、转办、处置。</w:t>
      </w:r>
    </w:p>
    <w:p>
      <w:pPr>
        <w:spacing w:line="540" w:lineRule="exact"/>
        <w:ind w:firstLine="627" w:firstLineChars="196"/>
        <w:rPr>
          <w:rFonts w:ascii="仿宋" w:hAnsi="Times New Roman" w:eastAsia="仿宋"/>
          <w:sz w:val="32"/>
          <w:szCs w:val="32"/>
        </w:rPr>
      </w:pPr>
      <w:r>
        <w:rPr>
          <w:rFonts w:ascii="Times New Roman" w:hAnsi="Times New Roman" w:eastAsia="仿宋_GB2312"/>
          <w:color w:val="000000"/>
          <w:sz w:val="32"/>
          <w:szCs w:val="32"/>
        </w:rPr>
        <w:t>2.</w:t>
      </w:r>
      <w:r>
        <w:rPr>
          <w:rFonts w:ascii="仿宋_GB2312" w:hAnsi="仿宋_GB2312"/>
          <w:color w:val="000000"/>
          <w:sz w:val="32"/>
          <w:szCs w:val="32"/>
        </w:rPr>
        <w:t>行政处罚方面：负责行使市容环境卫生、城市规划管理、园林绿化管理、市政公用管理（城市供水与公共客运除外）、河道管理的行政处罚权；负责行使环境保护管理方面对社会生活噪声污染和建筑施工噪声污染以及城市饮食服务业超标排污行为的行政处罚权；负责行使工商行政管理方面对无照商贩行为的行政处罚权；负责行使公安交通管理方面对侵占城市人行道行为的行政处罚权。</w:t>
      </w:r>
    </w:p>
    <w:p>
      <w:pPr>
        <w:spacing w:line="600" w:lineRule="atLeast"/>
        <w:ind w:firstLine="640"/>
        <w:jc w:val="both"/>
      </w:pPr>
      <w:r>
        <w:rPr>
          <w:rStyle w:val="7"/>
          <w:rFonts w:hint="eastAsia" w:ascii="楷体" w:hAnsi="楷体" w:eastAsia="楷体"/>
          <w:sz w:val="32"/>
          <w:szCs w:val="32"/>
        </w:rPr>
        <w:t>（二）机构设置</w:t>
      </w:r>
    </w:p>
    <w:p>
      <w:pPr>
        <w:spacing w:line="600" w:lineRule="atLeast"/>
        <w:ind w:firstLine="640"/>
        <w:jc w:val="both"/>
        <w:rPr>
          <w:rFonts w:ascii="仿宋" w:hAnsi="仿宋" w:eastAsia="仿宋" w:cs="Arial"/>
          <w:sz w:val="32"/>
          <w:szCs w:val="32"/>
        </w:rPr>
      </w:pPr>
      <w:r>
        <w:rPr>
          <w:rFonts w:hint="eastAsia" w:ascii="仿宋" w:hAnsi="仿宋" w:eastAsia="仿宋"/>
          <w:sz w:val="32"/>
          <w:szCs w:val="32"/>
        </w:rPr>
        <w:t>从预算单位构成看，温州市鹿城区综合行政执法局</w:t>
      </w:r>
      <w:r>
        <w:rPr>
          <w:rFonts w:hint="eastAsia" w:ascii="仿宋" w:hAnsi="仿宋" w:eastAsia="仿宋" w:cs="Arial"/>
          <w:sz w:val="32"/>
          <w:szCs w:val="32"/>
        </w:rPr>
        <w:t>(汇总)部门决算包括：局本级决算、局属事业单位决算.</w:t>
      </w:r>
    </w:p>
    <w:p>
      <w:pPr>
        <w:spacing w:line="600" w:lineRule="atLeast"/>
        <w:ind w:firstLine="640"/>
        <w:jc w:val="both"/>
      </w:pPr>
      <w:r>
        <w:rPr>
          <w:rFonts w:hint="eastAsia" w:ascii="仿宋" w:hAnsi="仿宋" w:eastAsia="仿宋"/>
          <w:sz w:val="32"/>
          <w:szCs w:val="32"/>
        </w:rPr>
        <w:t>纳入温州市鹿城区综合行政执法局</w:t>
      </w:r>
      <w:r>
        <w:rPr>
          <w:rFonts w:hint="eastAsia" w:ascii="仿宋" w:hAnsi="仿宋" w:eastAsia="仿宋" w:cs="Arial"/>
          <w:sz w:val="32"/>
          <w:szCs w:val="32"/>
        </w:rPr>
        <w:t>(汇总)2019年度部门决算编制范围的二级预算单位包括：</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温州市鹿城区综合行政执法局</w:t>
      </w:r>
      <w:r>
        <w:rPr>
          <w:rFonts w:hint="eastAsia" w:ascii="仿宋" w:hAnsi="仿宋" w:eastAsia="仿宋" w:cs="Arial"/>
          <w:sz w:val="32"/>
          <w:szCs w:val="32"/>
        </w:rPr>
        <w:t>(本级)</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温州市鹿城区园林绿化管理处</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温州市鹿城区环境卫生管理处</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温州市鹿城区市政公用管理处</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温州市鹿城区公共泊位管理服务中心</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温州市鹿城区公园管理处(19年新增）</w:t>
      </w:r>
    </w:p>
    <w:p>
      <w:pPr>
        <w:numPr>
          <w:ilvl w:val="0"/>
          <w:numId w:val="1"/>
        </w:numPr>
        <w:spacing w:line="600" w:lineRule="atLeast"/>
        <w:ind w:firstLine="640"/>
        <w:jc w:val="both"/>
        <w:rPr>
          <w:rFonts w:ascii="仿宋" w:hAnsi="仿宋" w:eastAsia="仿宋" w:cs="Arial"/>
          <w:sz w:val="32"/>
          <w:szCs w:val="32"/>
        </w:rPr>
      </w:pPr>
      <w:r>
        <w:rPr>
          <w:rFonts w:hint="eastAsia" w:ascii="仿宋" w:hAnsi="仿宋" w:eastAsia="仿宋"/>
          <w:sz w:val="32"/>
          <w:szCs w:val="32"/>
        </w:rPr>
        <w:t>温州市鹿城区园林绿化养护大队（19年新增）</w:t>
      </w:r>
    </w:p>
    <w:p>
      <w:pPr>
        <w:spacing w:line="600" w:lineRule="atLeast"/>
        <w:ind w:firstLine="640"/>
        <w:jc w:val="both"/>
      </w:pPr>
      <w:r>
        <w:rPr>
          <w:rStyle w:val="7"/>
          <w:rFonts w:hint="eastAsia" w:ascii="黑体" w:hAnsi="黑体" w:eastAsia="黑体"/>
          <w:sz w:val="32"/>
          <w:szCs w:val="32"/>
        </w:rPr>
        <w:t>二、温州市鹿城区综合行政执法局</w:t>
      </w:r>
      <w:r>
        <w:rPr>
          <w:rStyle w:val="7"/>
          <w:rFonts w:hint="eastAsia" w:ascii="黑体" w:eastAsia="黑体" w:cs="Arial"/>
          <w:sz w:val="32"/>
          <w:szCs w:val="32"/>
        </w:rPr>
        <w:t>(汇总)2019年度部门决算公开表</w:t>
      </w:r>
    </w:p>
    <w:p>
      <w:pPr>
        <w:spacing w:line="600" w:lineRule="atLeast"/>
        <w:ind w:firstLine="640"/>
        <w:jc w:val="both"/>
      </w:pPr>
      <w:r>
        <w:rPr>
          <w:rFonts w:hint="eastAsia" w:ascii="仿宋" w:hAnsi="仿宋" w:eastAsia="仿宋"/>
          <w:sz w:val="32"/>
          <w:szCs w:val="32"/>
        </w:rPr>
        <w:t>详见附表。</w:t>
      </w:r>
    </w:p>
    <w:p>
      <w:pPr>
        <w:spacing w:line="600" w:lineRule="atLeast"/>
        <w:ind w:firstLine="640"/>
        <w:jc w:val="both"/>
      </w:pPr>
      <w:r>
        <w:rPr>
          <w:rStyle w:val="7"/>
          <w:rFonts w:hint="eastAsia" w:ascii="黑体" w:hAnsi="黑体" w:eastAsia="黑体"/>
          <w:sz w:val="32"/>
          <w:szCs w:val="32"/>
        </w:rPr>
        <w:t>三、温州市鹿城区综合行政执法局</w:t>
      </w:r>
      <w:r>
        <w:rPr>
          <w:rStyle w:val="7"/>
          <w:rFonts w:hint="eastAsia" w:ascii="黑体" w:eastAsia="黑体" w:cs="Arial"/>
          <w:sz w:val="32"/>
          <w:szCs w:val="32"/>
        </w:rPr>
        <w:t>(汇总)2019年度部门决算情况说明</w:t>
      </w:r>
    </w:p>
    <w:p>
      <w:pPr>
        <w:spacing w:line="600" w:lineRule="atLeast"/>
        <w:ind w:firstLine="640"/>
        <w:jc w:val="both"/>
      </w:pPr>
      <w:r>
        <w:rPr>
          <w:rStyle w:val="7"/>
          <w:rFonts w:hint="eastAsia" w:ascii="楷体" w:hAnsi="楷体" w:eastAsia="楷体"/>
          <w:sz w:val="32"/>
          <w:szCs w:val="32"/>
        </w:rPr>
        <w:t>（一）收入支出决算总体情况说明</w:t>
      </w:r>
    </w:p>
    <w:p>
      <w:pPr>
        <w:spacing w:line="600" w:lineRule="atLeast"/>
        <w:ind w:firstLine="640"/>
        <w:jc w:val="both"/>
        <w:rPr>
          <w:rFonts w:eastAsia="仿宋"/>
        </w:rPr>
      </w:pPr>
      <w:r>
        <w:rPr>
          <w:rFonts w:hint="eastAsia" w:ascii="仿宋" w:hAnsi="仿宋" w:eastAsia="仿宋" w:cs="Arial"/>
          <w:sz w:val="32"/>
          <w:szCs w:val="32"/>
        </w:rPr>
        <w:t>2019年度收入总计80843.37万元，与2018年度相比，收入增加24448.98</w:t>
      </w:r>
      <w:r>
        <w:rPr>
          <w:rFonts w:hint="eastAsia" w:ascii="仿宋" w:hAnsi="仿宋" w:eastAsia="仿宋"/>
          <w:sz w:val="32"/>
          <w:szCs w:val="32"/>
        </w:rPr>
        <w:t>万元，增长</w:t>
      </w:r>
      <w:r>
        <w:rPr>
          <w:rFonts w:hint="eastAsia" w:ascii="仿宋" w:hAnsi="仿宋" w:eastAsia="仿宋" w:cs="Arial"/>
          <w:sz w:val="32"/>
          <w:szCs w:val="32"/>
        </w:rPr>
        <w:t>43.35%；2019年度支出总计78622.94万元，与2018年度相比，支出增加21838.41</w:t>
      </w:r>
      <w:r>
        <w:rPr>
          <w:rFonts w:hint="eastAsia" w:ascii="仿宋" w:hAnsi="仿宋" w:eastAsia="仿宋"/>
          <w:sz w:val="32"/>
          <w:szCs w:val="32"/>
        </w:rPr>
        <w:t>万元，增长</w:t>
      </w:r>
      <w:r>
        <w:rPr>
          <w:rFonts w:hint="eastAsia" w:ascii="仿宋" w:hAnsi="仿宋" w:eastAsia="仿宋" w:cs="Arial"/>
          <w:sz w:val="32"/>
          <w:szCs w:val="32"/>
        </w:rPr>
        <w:t>38.46%。主要原因是：</w:t>
      </w:r>
      <w:r>
        <w:rPr>
          <w:rFonts w:hint="eastAsia" w:ascii="仿宋" w:hAnsi="仿宋" w:eastAsia="仿宋"/>
          <w:sz w:val="32"/>
          <w:szCs w:val="32"/>
        </w:rPr>
        <w:t>今年新增市局下放温州市鹿城区公园管理处和温州市鹿城区园林绿化养护大队2家单位；市政公用管理处新增污水零直排整治。</w:t>
      </w:r>
    </w:p>
    <w:p>
      <w:pPr>
        <w:spacing w:line="600" w:lineRule="atLeast"/>
        <w:ind w:firstLine="640"/>
        <w:jc w:val="both"/>
      </w:pPr>
      <w:r>
        <w:rPr>
          <w:rStyle w:val="7"/>
          <w:rFonts w:hint="eastAsia" w:ascii="楷体" w:hAnsi="楷体" w:eastAsia="楷体"/>
          <w:sz w:val="32"/>
          <w:szCs w:val="32"/>
        </w:rPr>
        <w:t>（二）收入决算情况说明</w:t>
      </w:r>
    </w:p>
    <w:p>
      <w:pPr>
        <w:spacing w:line="600" w:lineRule="atLeast"/>
        <w:ind w:firstLine="640"/>
        <w:jc w:val="both"/>
      </w:pPr>
      <w:r>
        <w:rPr>
          <w:rFonts w:hint="eastAsia" w:ascii="仿宋" w:hAnsi="仿宋" w:eastAsia="仿宋"/>
          <w:sz w:val="32"/>
          <w:szCs w:val="32"/>
        </w:rPr>
        <w:t>本年收入合计</w:t>
      </w:r>
      <w:r>
        <w:rPr>
          <w:rFonts w:hint="eastAsia" w:ascii="仿宋" w:hAnsi="仿宋" w:eastAsia="仿宋" w:cs="Arial"/>
          <w:sz w:val="32"/>
          <w:szCs w:val="32"/>
        </w:rPr>
        <w:t>80,843.37万元；包括财政拨款收入76,299.87万元（其中，一般公共预算71,189.44万元，政府性基金预算5,110.43万元），占收入合计94.38%；上级补助收入0万元，占收入合计0%；事业收入0万元，占收入合计0%；经营收入0万元，占收入合计0%。附属单位上缴收入0万元，占收入合计0%。其他收入4,543.50万元，占收入合计5.62%。</w:t>
      </w:r>
    </w:p>
    <w:p>
      <w:pPr>
        <w:spacing w:line="600" w:lineRule="atLeast"/>
        <w:ind w:firstLine="640"/>
        <w:jc w:val="both"/>
      </w:pPr>
      <w:r>
        <w:rPr>
          <w:rStyle w:val="7"/>
          <w:rFonts w:hint="eastAsia" w:ascii="楷体" w:hAnsi="楷体" w:eastAsia="楷体"/>
          <w:sz w:val="32"/>
          <w:szCs w:val="32"/>
        </w:rPr>
        <w:t>（三）支出决算情况说明</w:t>
      </w:r>
    </w:p>
    <w:p>
      <w:pPr>
        <w:spacing w:line="600" w:lineRule="atLeast"/>
        <w:ind w:firstLine="640"/>
        <w:jc w:val="both"/>
      </w:pPr>
      <w:r>
        <w:rPr>
          <w:rFonts w:hint="eastAsia" w:ascii="仿宋" w:hAnsi="仿宋" w:eastAsia="仿宋"/>
          <w:sz w:val="32"/>
          <w:szCs w:val="32"/>
        </w:rPr>
        <w:t>本年支出合计</w:t>
      </w:r>
      <w:r>
        <w:rPr>
          <w:rFonts w:hint="eastAsia" w:ascii="仿宋" w:hAnsi="仿宋" w:eastAsia="仿宋" w:cs="Arial"/>
          <w:sz w:val="32"/>
          <w:szCs w:val="32"/>
        </w:rPr>
        <w:t>78,622.94万元，其中基本支出30,249.16万元，占38.47%；项目支出48,373.79万元，占61.53%；上缴上级支出0万元，占0%；经营支出0万元，占0%；对附属单位补助支出0万元，占0%。</w:t>
      </w:r>
    </w:p>
    <w:p>
      <w:pPr>
        <w:spacing w:line="600" w:lineRule="atLeast"/>
        <w:ind w:firstLine="640"/>
        <w:jc w:val="both"/>
      </w:pPr>
      <w:r>
        <w:rPr>
          <w:rStyle w:val="7"/>
          <w:rFonts w:hint="eastAsia" w:ascii="楷体" w:hAnsi="楷体" w:eastAsia="楷体"/>
          <w:sz w:val="32"/>
          <w:szCs w:val="32"/>
        </w:rPr>
        <w:t>（四）财政拨款收入支出决算总体情况说明</w:t>
      </w:r>
    </w:p>
    <w:p>
      <w:pPr>
        <w:spacing w:line="600" w:lineRule="atLeast"/>
        <w:ind w:firstLine="640"/>
        <w:jc w:val="both"/>
        <w:rPr>
          <w:rFonts w:eastAsia="仿宋"/>
        </w:rPr>
      </w:pPr>
      <w:r>
        <w:rPr>
          <w:rFonts w:hint="eastAsia" w:ascii="仿宋" w:hAnsi="仿宋" w:eastAsia="仿宋" w:cs="Arial"/>
          <w:sz w:val="32"/>
          <w:szCs w:val="32"/>
        </w:rPr>
        <w:t>2019年度财政拨款收、支总计77,229.22万元，与2018年相比，财政拨款收、支总计各增加23146.88</w:t>
      </w:r>
      <w:r>
        <w:rPr>
          <w:rFonts w:hint="eastAsia" w:ascii="仿宋" w:hAnsi="仿宋" w:eastAsia="仿宋"/>
          <w:sz w:val="32"/>
          <w:szCs w:val="32"/>
        </w:rPr>
        <w:t>万元，增长</w:t>
      </w:r>
      <w:r>
        <w:rPr>
          <w:rFonts w:hint="eastAsia" w:ascii="仿宋" w:hAnsi="仿宋" w:eastAsia="仿宋" w:cs="Arial"/>
          <w:sz w:val="32"/>
          <w:szCs w:val="32"/>
        </w:rPr>
        <w:t>42.8%。主要原因是：</w:t>
      </w:r>
      <w:r>
        <w:rPr>
          <w:rFonts w:hint="eastAsia" w:ascii="仿宋" w:hAnsi="仿宋" w:eastAsia="仿宋"/>
          <w:sz w:val="32"/>
          <w:szCs w:val="32"/>
        </w:rPr>
        <w:t>今年新增市局下放温州市鹿城区公园管理处和温州市鹿城区园林绿化养护大队2家单位；市政公用管理处新增污水零直排整治项目。</w:t>
      </w:r>
    </w:p>
    <w:p>
      <w:pPr>
        <w:spacing w:line="600" w:lineRule="atLeast"/>
        <w:ind w:firstLine="321" w:firstLineChars="100"/>
        <w:jc w:val="both"/>
      </w:pPr>
      <w:r>
        <w:rPr>
          <w:rStyle w:val="7"/>
          <w:rFonts w:hint="eastAsia" w:ascii="楷体" w:hAnsi="楷体" w:eastAsia="楷体"/>
          <w:sz w:val="32"/>
          <w:szCs w:val="32"/>
        </w:rPr>
        <w:t>（五）一般公共预算财政拨款支出决算情况说明</w:t>
      </w:r>
    </w:p>
    <w:p>
      <w:pPr>
        <w:spacing w:line="600" w:lineRule="atLeast"/>
        <w:ind w:firstLine="640"/>
        <w:jc w:val="both"/>
      </w:pPr>
      <w:r>
        <w:rPr>
          <w:rStyle w:val="7"/>
          <w:rFonts w:hint="eastAsia" w:ascii="仿宋" w:hAnsi="仿宋" w:eastAsia="仿宋" w:cs="Arial"/>
          <w:sz w:val="32"/>
          <w:szCs w:val="32"/>
        </w:rPr>
        <w:t>1.一般公共预算财政拨款支出决算总体情况。</w:t>
      </w:r>
    </w:p>
    <w:p>
      <w:pPr>
        <w:spacing w:line="600" w:lineRule="atLeast"/>
        <w:ind w:firstLine="640"/>
        <w:jc w:val="both"/>
      </w:pPr>
      <w:r>
        <w:rPr>
          <w:rFonts w:hint="eastAsia" w:ascii="仿宋" w:hAnsi="仿宋" w:eastAsia="仿宋" w:cs="Arial"/>
          <w:sz w:val="32"/>
          <w:szCs w:val="32"/>
        </w:rPr>
        <w:t>2019年度一般公共预算财政拨款支出71,656.56万元，占本年支出合计的91.14%。与2018年相比，一般公共预算财政拨款支出增加20954.47</w:t>
      </w:r>
      <w:r>
        <w:rPr>
          <w:rFonts w:hint="eastAsia" w:ascii="仿宋" w:hAnsi="仿宋" w:eastAsia="仿宋"/>
          <w:sz w:val="32"/>
          <w:szCs w:val="32"/>
        </w:rPr>
        <w:t>万元，增长</w:t>
      </w:r>
      <w:r>
        <w:rPr>
          <w:rFonts w:hint="eastAsia" w:ascii="仿宋" w:hAnsi="仿宋" w:eastAsia="仿宋" w:cs="Arial"/>
          <w:sz w:val="32"/>
          <w:szCs w:val="32"/>
        </w:rPr>
        <w:t>41.33%。主要原因是：</w:t>
      </w:r>
      <w:r>
        <w:rPr>
          <w:rFonts w:hint="eastAsia" w:ascii="仿宋" w:hAnsi="仿宋" w:eastAsia="仿宋"/>
          <w:sz w:val="32"/>
          <w:szCs w:val="32"/>
        </w:rPr>
        <w:t>今年新增市局下放温州市鹿城区公园管理处和温州市鹿城区园林绿化养护大队2家单位；市政公用管理处新增污水零直排整治项目。</w:t>
      </w:r>
    </w:p>
    <w:p>
      <w:pPr>
        <w:spacing w:line="600" w:lineRule="atLeast"/>
        <w:ind w:firstLine="640"/>
        <w:jc w:val="both"/>
      </w:pPr>
      <w:r>
        <w:rPr>
          <w:rStyle w:val="7"/>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2019年度一般公共预算财政拨款支出71,656.56万元，主要用于以下方面：一般公共服务（类）支出0万元，占0%；国防（类）支出0万元,占0%；公共安全（类）支出100.00万元,占0.14%；教育（类）支出0万元,占0%；科学技术（类）支出353.52万元,占0.49%；文化旅游体育与传媒（类）支出0万元,占0%；社会保障和就业（类）支出2,756.15万元,占3.85%；卫生健康（类）支出1,263.89万元,占1.76%；节能环保（类）支出2,000.00万元,占2.79%；城乡社区（类）支出64,698.77万元,占90.29%；农林水（类）支出0万元,占0%；交通运输（类）支出0万元,占0%；资源勘探信息等（类）支出0万元,占0%；商业服务业等（类）支出0万元,占0%；金融（类）支出0万元,占0%；援助其他地区（类）支出0万元,占0%；自然资源海洋气象等（类）支出0万元,占0%；住房保障（类）支出484.24万元,占0.68%；粮油物资储备（类）支出0万元,占0%；灾害防治及应急管理（类）支出0万元，占0%；其他（类）支出0万元,占0%；债务还本（类）支出0万元,占0%；债务付息（类）支出0万元,占0%。</w:t>
      </w:r>
    </w:p>
    <w:p>
      <w:pPr>
        <w:spacing w:line="600" w:lineRule="atLeast"/>
        <w:ind w:firstLine="640"/>
        <w:jc w:val="both"/>
      </w:pPr>
      <w:r>
        <w:rPr>
          <w:rStyle w:val="7"/>
          <w:rFonts w:hint="eastAsia" w:ascii="仿宋" w:hAnsi="仿宋" w:eastAsia="仿宋" w:cs="Arial"/>
          <w:sz w:val="32"/>
          <w:szCs w:val="32"/>
        </w:rPr>
        <w:t>3.一般公共预算财政拨款支出决算具体情况。</w:t>
      </w:r>
    </w:p>
    <w:p>
      <w:pPr>
        <w:spacing w:line="600" w:lineRule="atLeast"/>
        <w:ind w:firstLine="640"/>
        <w:jc w:val="both"/>
      </w:pPr>
      <w:r>
        <w:rPr>
          <w:rFonts w:hint="eastAsia" w:ascii="仿宋" w:hAnsi="仿宋" w:eastAsia="仿宋" w:cs="Arial"/>
          <w:sz w:val="32"/>
          <w:szCs w:val="32"/>
        </w:rPr>
        <w:t>2019年度一般公共预算财政拨款支出年初预算为63983.01万元，支出决算为71,656.56万元,完成年初预算的111.99%，主要原因是今年新增市里下放的2个单位。其中：</w:t>
      </w:r>
    </w:p>
    <w:p>
      <w:pPr>
        <w:spacing w:line="600" w:lineRule="atLeast"/>
        <w:ind w:firstLine="640"/>
        <w:jc w:val="both"/>
      </w:pPr>
      <w:r>
        <w:rPr>
          <w:rFonts w:hint="eastAsia" w:ascii="仿宋" w:hAnsi="仿宋" w:eastAsia="仿宋" w:cs="Arial"/>
          <w:sz w:val="32"/>
          <w:szCs w:val="32"/>
        </w:rPr>
        <w:t>公共安全支出（类）公安（款）其他公安支出（项）。年初预算为80万元，支出决算为100万元，完成年初预算的125%，决算数大于预算数的主要原因增加工作经费。</w:t>
      </w:r>
    </w:p>
    <w:p>
      <w:pPr>
        <w:spacing w:line="600" w:lineRule="atLeast"/>
        <w:ind w:firstLine="640"/>
        <w:jc w:val="both"/>
      </w:pPr>
      <w:r>
        <w:rPr>
          <w:rFonts w:hint="eastAsia" w:ascii="仿宋" w:hAnsi="仿宋" w:eastAsia="仿宋" w:cs="Arial"/>
          <w:sz w:val="32"/>
          <w:szCs w:val="32"/>
        </w:rPr>
        <w:t>科学技术支出（类）其他科学技术支出（款）其他科学技术支出（项）。年初预算为365万元，支出决算为353.52万元，完成年初预算的97%，决算数小于预算数的主要原因是有效预算。</w:t>
      </w:r>
    </w:p>
    <w:p>
      <w:pPr>
        <w:spacing w:line="600" w:lineRule="atLeast"/>
        <w:ind w:firstLine="640"/>
        <w:jc w:val="both"/>
      </w:pPr>
      <w:r>
        <w:rPr>
          <w:rFonts w:hint="eastAsia" w:ascii="仿宋" w:hAnsi="仿宋" w:eastAsia="仿宋"/>
          <w:sz w:val="32"/>
          <w:szCs w:val="32"/>
        </w:rPr>
        <w:t>社会保障和就业支出（类）行政事业单位离退休（款）事业单位离退休（项）。</w:t>
      </w:r>
      <w:r>
        <w:rPr>
          <w:rFonts w:hint="eastAsia" w:ascii="仿宋" w:hAnsi="仿宋" w:eastAsia="仿宋" w:cs="Arial"/>
          <w:sz w:val="32"/>
          <w:szCs w:val="32"/>
        </w:rPr>
        <w:t>年初预算为203.27万元，支出决算为171.71万元，完成年初预算的84.47%，决算数小于预算数的主要原因是退休人员的春节慰问金标准下降。</w:t>
      </w:r>
    </w:p>
    <w:p>
      <w:pPr>
        <w:spacing w:line="600" w:lineRule="atLeast"/>
        <w:ind w:firstLine="640"/>
        <w:jc w:val="both"/>
      </w:pPr>
      <w:r>
        <w:rPr>
          <w:rFonts w:hint="eastAsia" w:ascii="仿宋" w:hAnsi="仿宋" w:eastAsia="仿宋"/>
          <w:sz w:val="32"/>
          <w:szCs w:val="32"/>
        </w:rPr>
        <w:t>社会保障和就业支出（类）行政事业单位离退休（款）未归口管理的行政单位离退休（项）。</w:t>
      </w:r>
      <w:r>
        <w:rPr>
          <w:rFonts w:hint="eastAsia" w:ascii="仿宋" w:hAnsi="仿宋" w:eastAsia="仿宋" w:cs="Arial"/>
          <w:sz w:val="32"/>
          <w:szCs w:val="32"/>
        </w:rPr>
        <w:t>年初预算为14.75万元，支出决算为12.25万元，完成年初预算的83.05%，决算数小于预算数的主要原因是退休人员的春节慰问金标准下降。</w:t>
      </w:r>
    </w:p>
    <w:p>
      <w:pPr>
        <w:spacing w:line="600" w:lineRule="atLeast"/>
        <w:ind w:firstLine="640"/>
        <w:jc w:val="both"/>
        <w:rPr>
          <w:highlight w:val="yellow"/>
        </w:rPr>
      </w:pPr>
      <w:r>
        <w:rPr>
          <w:rFonts w:hint="eastAsia" w:ascii="仿宋" w:hAnsi="仿宋" w:eastAsia="仿宋"/>
          <w:sz w:val="32"/>
          <w:szCs w:val="32"/>
        </w:rPr>
        <w:t>社会保障和就业支出（类）行政事业单位离退休（款）机关事业单位基本养老保险缴费支出（项）。</w:t>
      </w:r>
      <w:r>
        <w:rPr>
          <w:rFonts w:hint="eastAsia" w:ascii="仿宋" w:hAnsi="仿宋" w:eastAsia="仿宋" w:cs="Arial"/>
          <w:sz w:val="32"/>
          <w:szCs w:val="32"/>
        </w:rPr>
        <w:t>年初预算为1995.40万元，支出决算为1790.24万元，完成年初预算的89.72%，决算数小于预算数的主要原因是人员退休减少。</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社会保障和就业支出（类）行政事业单位离退休（款）机关事业单位职业年金缴费支出（项）</w:t>
      </w:r>
      <w:r>
        <w:rPr>
          <w:rFonts w:hint="eastAsia" w:ascii="仿宋" w:hAnsi="仿宋" w:eastAsia="仿宋" w:cs="Arial"/>
          <w:sz w:val="32"/>
          <w:szCs w:val="32"/>
        </w:rPr>
        <w:t>。年初预算为797.79万元，支出决算为781.94万元，完成年初预算的98.01%，决算数小于预算数的主要原因是人员退休减少。</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卫生健康支出（类）行政事业单位医疗（款）行政单位医疗（项）。</w:t>
      </w:r>
      <w:r>
        <w:rPr>
          <w:rFonts w:hint="eastAsia" w:ascii="仿宋" w:hAnsi="仿宋" w:eastAsia="仿宋" w:cs="Arial"/>
          <w:sz w:val="32"/>
          <w:szCs w:val="32"/>
        </w:rPr>
        <w:t>年初预算为384.52万元，支出决算为384.52万元，完成年初预算的100%。</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卫生健康支出（类）行政事业单位医疗（款）事业单位医疗（项）。</w:t>
      </w:r>
      <w:r>
        <w:rPr>
          <w:rFonts w:hint="eastAsia" w:ascii="仿宋" w:hAnsi="仿宋" w:eastAsia="仿宋" w:cs="Arial"/>
          <w:sz w:val="32"/>
          <w:szCs w:val="32"/>
        </w:rPr>
        <w:t>年初预算为903.71万元，支出决算为879.37万元，完成年初预算的97.30%，决算数小于预算数的主要原因是事业人员退休等。</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节能环保支出（类）污染防治（款）水体（项）。</w:t>
      </w:r>
      <w:r>
        <w:rPr>
          <w:rFonts w:hint="eastAsia" w:ascii="仿宋" w:hAnsi="仿宋" w:eastAsia="仿宋" w:cs="Arial"/>
          <w:sz w:val="32"/>
          <w:szCs w:val="32"/>
        </w:rPr>
        <w:t>年初预算为0万元，支出决算为2000万元，完成年初预算的 100%，决算数大于预算数的主要原因是市政公用处新增了污水零直排整治项目。</w:t>
      </w:r>
    </w:p>
    <w:p>
      <w:pPr>
        <w:spacing w:line="600" w:lineRule="atLeast"/>
        <w:ind w:firstLine="640" w:firstLineChars="200"/>
        <w:jc w:val="both"/>
        <w:rPr>
          <w:rFonts w:ascii="仿宋" w:hAnsi="仿宋" w:eastAsia="仿宋" w:cs="Arial"/>
          <w:sz w:val="32"/>
          <w:szCs w:val="32"/>
          <w:highlight w:val="yellow"/>
        </w:rPr>
      </w:pPr>
      <w:r>
        <w:rPr>
          <w:rFonts w:hint="eastAsia" w:ascii="仿宋" w:hAnsi="仿宋" w:eastAsia="仿宋"/>
          <w:sz w:val="32"/>
          <w:szCs w:val="32"/>
        </w:rPr>
        <w:t>城乡社区支出（类）城乡社区管理事务（款）行政运行（项）。</w:t>
      </w:r>
      <w:r>
        <w:rPr>
          <w:rFonts w:hint="eastAsia" w:ascii="仿宋" w:hAnsi="仿宋" w:eastAsia="仿宋" w:cs="Arial"/>
          <w:sz w:val="32"/>
          <w:szCs w:val="32"/>
        </w:rPr>
        <w:t>年初预算为7302.63万元，支出决算为10687.76万元，完成年初预算的146.35%，决算数大于预算数的主要原因是人员工资奖金结算。</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城乡社区支出（类）城乡社区管理事务（款）一般行政管理事务（项）。</w:t>
      </w:r>
      <w:r>
        <w:rPr>
          <w:rFonts w:hint="eastAsia" w:ascii="仿宋" w:hAnsi="仿宋" w:eastAsia="仿宋" w:cs="Arial"/>
          <w:sz w:val="32"/>
          <w:szCs w:val="32"/>
        </w:rPr>
        <w:t>年初预算为3832.52万元，支出决算为3369.29万元，完成年初预算的87.91%，决算数小于预算数的主要原因是财务实行精细管理，节省了行政管理成本。</w:t>
      </w:r>
    </w:p>
    <w:p>
      <w:pPr>
        <w:spacing w:line="600" w:lineRule="atLeast"/>
        <w:ind w:firstLine="640" w:firstLineChars="200"/>
        <w:jc w:val="both"/>
        <w:rPr>
          <w:rFonts w:ascii="仿宋" w:hAnsi="仿宋" w:eastAsia="仿宋" w:cs="Arial"/>
          <w:sz w:val="32"/>
          <w:szCs w:val="32"/>
          <w:highlight w:val="yellow"/>
        </w:rPr>
      </w:pPr>
      <w:r>
        <w:rPr>
          <w:rFonts w:hint="eastAsia" w:ascii="仿宋" w:hAnsi="仿宋" w:eastAsia="仿宋"/>
          <w:sz w:val="32"/>
          <w:szCs w:val="32"/>
        </w:rPr>
        <w:t>城乡社区支出（类）城乡社区管理事务（款）其他城乡社区管理事务支出（项）。</w:t>
      </w:r>
      <w:r>
        <w:rPr>
          <w:rFonts w:hint="eastAsia" w:ascii="仿宋" w:hAnsi="仿宋" w:eastAsia="仿宋" w:cs="Arial"/>
          <w:sz w:val="32"/>
          <w:szCs w:val="32"/>
        </w:rPr>
        <w:t>年初预算为44940.62万元，支出决算为46724.42万元，完成年初预算的103.97%，决算数大于预算数的主要原因是城维费增加。</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城乡社区支出（类）城乡社区环境卫生（款）城乡社区环境卫生（项）。</w:t>
      </w:r>
      <w:r>
        <w:rPr>
          <w:rFonts w:hint="eastAsia" w:ascii="仿宋" w:hAnsi="仿宋" w:eastAsia="仿宋" w:cs="Arial"/>
          <w:sz w:val="32"/>
          <w:szCs w:val="32"/>
        </w:rPr>
        <w:t>年初预算为1618.80万元，支出决算为3905.97万元，完成年初预算的241.29%，决算数大于预算数的主要原因是上级补助资金增加，城乡环境卫生支出增加。</w:t>
      </w:r>
    </w:p>
    <w:p>
      <w:pPr>
        <w:spacing w:line="600" w:lineRule="atLeast"/>
        <w:ind w:firstLine="640" w:firstLineChars="200"/>
        <w:jc w:val="both"/>
        <w:rPr>
          <w:rFonts w:hint="eastAsia" w:ascii="仿宋" w:hAnsi="仿宋" w:eastAsia="仿宋" w:cs="Arial"/>
          <w:sz w:val="32"/>
          <w:szCs w:val="32"/>
          <w:lang w:eastAsia="zh-CN"/>
        </w:rPr>
      </w:pPr>
      <w:r>
        <w:rPr>
          <w:rFonts w:hint="eastAsia" w:ascii="仿宋" w:hAnsi="仿宋" w:eastAsia="仿宋"/>
          <w:sz w:val="32"/>
          <w:szCs w:val="32"/>
        </w:rPr>
        <w:t>城乡社区支出（类）其他城乡社区支出（款）其他城乡社区支出（项）。</w:t>
      </w:r>
      <w:r>
        <w:rPr>
          <w:rFonts w:hint="eastAsia" w:ascii="仿宋" w:hAnsi="仿宋" w:eastAsia="仿宋" w:cs="Arial"/>
          <w:sz w:val="32"/>
          <w:szCs w:val="32"/>
        </w:rPr>
        <w:t>年初预算为0万元，支出决算为11.32万元</w:t>
      </w:r>
      <w:r>
        <w:rPr>
          <w:rFonts w:hint="eastAsia" w:ascii="仿宋" w:hAnsi="仿宋" w:eastAsia="仿宋" w:cs="Arial"/>
          <w:sz w:val="32"/>
          <w:szCs w:val="32"/>
          <w:lang w:eastAsia="zh-CN"/>
        </w:rPr>
        <w:t>，主要用于</w:t>
      </w:r>
      <w:r>
        <w:rPr>
          <w:rFonts w:hint="eastAsia" w:ascii="仿宋" w:hAnsi="仿宋" w:eastAsia="仿宋" w:cs="Arial"/>
          <w:sz w:val="32"/>
          <w:szCs w:val="32"/>
        </w:rPr>
        <w:t>办公家具及办公设备支出</w:t>
      </w:r>
      <w:r>
        <w:rPr>
          <w:rFonts w:hint="eastAsia" w:ascii="仿宋" w:hAnsi="仿宋" w:eastAsia="仿宋" w:cs="Arial"/>
          <w:sz w:val="32"/>
          <w:szCs w:val="32"/>
          <w:lang w:eastAsia="zh-CN"/>
        </w:rPr>
        <w:t>。</w:t>
      </w:r>
    </w:p>
    <w:p>
      <w:pPr>
        <w:spacing w:line="600" w:lineRule="atLeast"/>
        <w:ind w:firstLine="640" w:firstLineChars="200"/>
        <w:jc w:val="both"/>
        <w:rPr>
          <w:rFonts w:ascii="仿宋" w:hAnsi="仿宋" w:eastAsia="仿宋" w:cs="Arial"/>
          <w:sz w:val="32"/>
          <w:szCs w:val="32"/>
        </w:rPr>
      </w:pPr>
      <w:r>
        <w:rPr>
          <w:rFonts w:hint="eastAsia" w:ascii="仿宋" w:hAnsi="仿宋" w:eastAsia="仿宋"/>
          <w:sz w:val="32"/>
          <w:szCs w:val="32"/>
        </w:rPr>
        <w:t>住房保障支出（类）住房改革支出（款）住房公积金（项）。</w:t>
      </w:r>
      <w:r>
        <w:rPr>
          <w:rFonts w:hint="eastAsia" w:ascii="仿宋" w:hAnsi="仿宋" w:eastAsia="仿宋" w:cs="Arial"/>
          <w:sz w:val="32"/>
          <w:szCs w:val="32"/>
        </w:rPr>
        <w:t>年初预算为1389万元，支出决算为330.14万元，完成年初预算的23.77%，决算数小于预算数的主要原因是功能科目调整。</w:t>
      </w:r>
    </w:p>
    <w:p>
      <w:pPr>
        <w:spacing w:line="600" w:lineRule="atLeast"/>
        <w:ind w:firstLine="640" w:firstLineChars="200"/>
        <w:jc w:val="both"/>
        <w:rPr>
          <w:rFonts w:ascii="仿宋" w:hAnsi="仿宋" w:eastAsia="仿宋" w:cs="Arial"/>
          <w:sz w:val="32"/>
          <w:szCs w:val="32"/>
          <w:highlight w:val="yellow"/>
        </w:rPr>
      </w:pPr>
      <w:r>
        <w:rPr>
          <w:rFonts w:hint="eastAsia" w:ascii="仿宋" w:hAnsi="仿宋" w:eastAsia="仿宋"/>
          <w:sz w:val="32"/>
          <w:szCs w:val="32"/>
        </w:rPr>
        <w:t>住房保障支出（类）城乡社区住宅（款）其他城乡社区住宅支出（项）。</w:t>
      </w:r>
      <w:r>
        <w:rPr>
          <w:rFonts w:hint="eastAsia" w:ascii="仿宋" w:hAnsi="仿宋" w:eastAsia="仿宋" w:cs="Arial"/>
          <w:sz w:val="32"/>
          <w:szCs w:val="32"/>
        </w:rPr>
        <w:t>年初预算为155万元，支出决算为154.1万元，完成年初预算的99.42%。</w:t>
      </w:r>
    </w:p>
    <w:p>
      <w:pPr>
        <w:spacing w:line="600" w:lineRule="atLeast"/>
        <w:ind w:firstLine="643" w:firstLineChars="200"/>
        <w:jc w:val="both"/>
      </w:pPr>
      <w:r>
        <w:rPr>
          <w:rStyle w:val="7"/>
          <w:rFonts w:hint="eastAsia" w:ascii="楷体" w:hAnsi="楷体" w:eastAsia="楷体"/>
          <w:sz w:val="32"/>
          <w:szCs w:val="32"/>
        </w:rPr>
        <w:t>（六）一般公共预算财政拨款基本支出决算情况说明</w:t>
      </w:r>
    </w:p>
    <w:p>
      <w:pPr>
        <w:spacing w:line="600" w:lineRule="atLeast"/>
        <w:ind w:firstLine="640"/>
        <w:jc w:val="both"/>
      </w:pPr>
      <w:r>
        <w:rPr>
          <w:rFonts w:hint="eastAsia" w:ascii="仿宋" w:hAnsi="仿宋" w:eastAsia="仿宋" w:cs="Arial"/>
          <w:sz w:val="32"/>
          <w:szCs w:val="32"/>
        </w:rPr>
        <w:t>2019年度一般公共预算财政拨款基本支出30,178.73万元，其中：</w:t>
      </w:r>
    </w:p>
    <w:p>
      <w:pPr>
        <w:spacing w:line="600" w:lineRule="atLeast"/>
        <w:ind w:firstLine="640"/>
        <w:jc w:val="both"/>
        <w:rPr>
          <w:rFonts w:eastAsia="仿宋"/>
        </w:rPr>
      </w:pPr>
      <w:r>
        <w:rPr>
          <w:rFonts w:hint="eastAsia" w:ascii="仿宋" w:hAnsi="仿宋" w:eastAsia="仿宋"/>
          <w:sz w:val="32"/>
          <w:szCs w:val="32"/>
        </w:rPr>
        <w:t>人员经费</w:t>
      </w:r>
      <w:r>
        <w:rPr>
          <w:rFonts w:hint="eastAsia" w:ascii="仿宋" w:hAnsi="仿宋" w:eastAsia="仿宋" w:cs="Arial"/>
          <w:sz w:val="32"/>
          <w:szCs w:val="32"/>
        </w:rPr>
        <w:t>28,151.69万元，主要包括：基本工资、津贴补贴、奖金、</w:t>
      </w:r>
      <w:r>
        <w:rPr>
          <w:rFonts w:hint="eastAsia" w:ascii="仿宋" w:hAnsi="仿宋" w:eastAsia="仿宋"/>
          <w:sz w:val="32"/>
          <w:szCs w:val="32"/>
        </w:rPr>
        <w:t>绩效工资、机关事业单位基本养老保险缴费、职业年金缴费、职工基本医疗保险缴费、公务员医疗补助缴费、其他社会保障缴费、住房公积金、医疗费、其他工资福利支出、离休费、抚恤金、生活补助、医疗费补助；其他对个人和家庭的补助支出。</w:t>
      </w:r>
    </w:p>
    <w:p>
      <w:pPr>
        <w:spacing w:line="600" w:lineRule="atLeast"/>
        <w:ind w:firstLine="640"/>
        <w:jc w:val="both"/>
        <w:rPr>
          <w:rFonts w:ascii="仿宋" w:hAnsi="仿宋" w:eastAsia="仿宋" w:cs="Arial"/>
          <w:sz w:val="32"/>
          <w:szCs w:val="32"/>
        </w:rPr>
      </w:pPr>
      <w:r>
        <w:rPr>
          <w:rFonts w:hint="eastAsia" w:ascii="仿宋" w:hAnsi="仿宋" w:eastAsia="仿宋"/>
          <w:sz w:val="32"/>
          <w:szCs w:val="32"/>
        </w:rPr>
        <w:t>公用经费</w:t>
      </w:r>
      <w:r>
        <w:rPr>
          <w:rFonts w:hint="eastAsia" w:ascii="仿宋" w:hAnsi="仿宋" w:eastAsia="仿宋" w:cs="Arial"/>
          <w:sz w:val="32"/>
          <w:szCs w:val="32"/>
        </w:rPr>
        <w:t>2,027.04万元，主要包括：办公费、印刷费、</w:t>
      </w:r>
      <w:r>
        <w:rPr>
          <w:rFonts w:hint="eastAsia" w:ascii="仿宋" w:hAnsi="仿宋" w:eastAsia="仿宋"/>
          <w:sz w:val="32"/>
          <w:szCs w:val="32"/>
        </w:rPr>
        <w:t>咨询费、手续费、水费、电费、邮电费、物业管理费、差旅费、维修（护）费、租赁费、培训费、公务接待费、专用材料费、劳务费、委托业务费、工会经费、福利费、公务用车运行维护费、其他交通费用、其他商品和服务支出、办公设备购置、专用设备购置、信息网络及软件购置更新、其他资本性支出。</w:t>
      </w:r>
    </w:p>
    <w:p>
      <w:pPr>
        <w:spacing w:line="600" w:lineRule="atLeast"/>
        <w:jc w:val="both"/>
      </w:pPr>
      <w:r>
        <w:rPr>
          <w:rStyle w:val="7"/>
          <w:rFonts w:hint="eastAsia" w:ascii="楷体" w:hAnsi="楷体" w:eastAsia="楷体"/>
          <w:sz w:val="32"/>
          <w:szCs w:val="32"/>
        </w:rPr>
        <w:t>（七）政府性基金预算财政拨款支出决算总体情况</w:t>
      </w:r>
    </w:p>
    <w:p>
      <w:pPr>
        <w:spacing w:line="600" w:lineRule="atLeast"/>
        <w:ind w:firstLine="640"/>
        <w:jc w:val="both"/>
      </w:pPr>
      <w:r>
        <w:rPr>
          <w:rStyle w:val="7"/>
          <w:rFonts w:hint="eastAsia" w:ascii="仿宋" w:hAnsi="仿宋" w:eastAsia="仿宋" w:cs="Arial"/>
          <w:sz w:val="32"/>
          <w:szCs w:val="32"/>
        </w:rPr>
        <w:t>1.政府性基金预算财政拨款支出决算总体情况。</w:t>
      </w:r>
    </w:p>
    <w:p>
      <w:pPr>
        <w:spacing w:line="600" w:lineRule="atLeast"/>
        <w:ind w:firstLine="640"/>
        <w:jc w:val="both"/>
        <w:rPr>
          <w:rFonts w:eastAsia="仿宋"/>
        </w:rPr>
      </w:pPr>
      <w:r>
        <w:rPr>
          <w:rFonts w:hint="eastAsia" w:ascii="仿宋" w:hAnsi="仿宋" w:eastAsia="仿宋" w:cs="Arial"/>
          <w:sz w:val="32"/>
          <w:szCs w:val="32"/>
        </w:rPr>
        <w:t>2019年度政府性基金预算财政拨款支出2,945.86万元，占本年支出合计的3.75%。与2018年相比，政府性基金预算财政拨款支出增加904.02</w:t>
      </w:r>
      <w:r>
        <w:rPr>
          <w:rFonts w:hint="eastAsia" w:ascii="仿宋" w:hAnsi="仿宋" w:eastAsia="仿宋"/>
          <w:sz w:val="32"/>
          <w:szCs w:val="32"/>
        </w:rPr>
        <w:t>万元，增长</w:t>
      </w:r>
      <w:r>
        <w:rPr>
          <w:rFonts w:hint="eastAsia" w:ascii="仿宋" w:hAnsi="仿宋" w:eastAsia="仿宋" w:cs="Arial"/>
          <w:sz w:val="32"/>
          <w:szCs w:val="32"/>
        </w:rPr>
        <w:t>44.27%。主要原因是：</w:t>
      </w:r>
      <w:r>
        <w:rPr>
          <w:rFonts w:hint="eastAsia" w:ascii="仿宋" w:hAnsi="仿宋" w:eastAsia="仿宋"/>
          <w:sz w:val="32"/>
          <w:szCs w:val="32"/>
        </w:rPr>
        <w:t>市政公用管理处征地和拆迁补偿支出新增污水零直排整治项目。</w:t>
      </w:r>
    </w:p>
    <w:p>
      <w:pPr>
        <w:spacing w:line="600" w:lineRule="atLeast"/>
        <w:ind w:firstLine="643" w:firstLineChars="200"/>
        <w:jc w:val="both"/>
      </w:pPr>
      <w:r>
        <w:rPr>
          <w:rStyle w:val="7"/>
          <w:rFonts w:hint="eastAsia" w:ascii="仿宋" w:hAnsi="仿宋" w:eastAsia="仿宋" w:cs="Arial"/>
          <w:sz w:val="32"/>
          <w:szCs w:val="32"/>
        </w:rPr>
        <w:t>2.政府性基金预算财政拨款支出决算结构情况。</w:t>
      </w:r>
    </w:p>
    <w:p>
      <w:pPr>
        <w:spacing w:line="600" w:lineRule="atLeast"/>
        <w:ind w:firstLine="640"/>
        <w:jc w:val="both"/>
      </w:pPr>
      <w:r>
        <w:rPr>
          <w:rFonts w:hint="eastAsia" w:ascii="仿宋" w:hAnsi="仿宋" w:eastAsia="仿宋" w:cs="Arial"/>
          <w:sz w:val="32"/>
          <w:szCs w:val="32"/>
        </w:rPr>
        <w:t>2019年度政府性基金预算财政拨款支出2,945.86万元，主要用于以下方面：科学技术（类）支出0万元,占0%；文化旅游体育与传媒（类）支出0万元,占0%；社会保障和就业（类）支出0万元,占0%；节能环保（类）支出0万元,占0%；城乡社区（类）支出2,945.86万元,占100.00%；农林水（类）支出0万元,占0%；交通运输（类）支出0万元,占0%；资源勘探信息等（类）支出0万元,占0%；金融（类）支出0万元,占0%；其他（类）支出0万元,占0%；债务付息（类）支出0万元,占0%。</w:t>
      </w:r>
    </w:p>
    <w:p>
      <w:pPr>
        <w:spacing w:line="600" w:lineRule="atLeast"/>
        <w:ind w:firstLine="640"/>
        <w:jc w:val="both"/>
      </w:pPr>
      <w:r>
        <w:rPr>
          <w:rStyle w:val="7"/>
          <w:rFonts w:hint="eastAsia" w:ascii="仿宋" w:hAnsi="仿宋" w:eastAsia="仿宋" w:cs="Arial"/>
          <w:sz w:val="32"/>
          <w:szCs w:val="32"/>
        </w:rPr>
        <w:t>3.政府性基金预算财政拨款支出决算具体情况。</w:t>
      </w:r>
    </w:p>
    <w:p>
      <w:pPr>
        <w:spacing w:line="600" w:lineRule="atLeast"/>
        <w:ind w:firstLine="640"/>
        <w:jc w:val="both"/>
      </w:pPr>
      <w:r>
        <w:rPr>
          <w:rFonts w:hint="eastAsia" w:ascii="仿宋" w:hAnsi="仿宋" w:eastAsia="仿宋" w:cs="Arial"/>
          <w:sz w:val="32"/>
          <w:szCs w:val="32"/>
        </w:rPr>
        <w:t>2019年度政府性基金预算财政拨款支出年初预算为300万元，支出决算为2,945.86万元,完成年初预算的981.95%，主要原因是追加了污水零直排建设项目及吕浦桥等危桥整治。其中：</w:t>
      </w:r>
    </w:p>
    <w:p>
      <w:pPr>
        <w:spacing w:line="600" w:lineRule="atLeast"/>
        <w:ind w:firstLine="640"/>
        <w:jc w:val="both"/>
        <w:rPr>
          <w:highlight w:val="yellow"/>
        </w:rPr>
      </w:pPr>
      <w:r>
        <w:rPr>
          <w:rFonts w:hint="eastAsia" w:ascii="仿宋" w:hAnsi="仿宋" w:eastAsia="仿宋"/>
          <w:sz w:val="32"/>
          <w:szCs w:val="32"/>
        </w:rPr>
        <w:t>城乡社区支出（类）国有土地使用权出让收入及对应专项债务收入安排的支出（款）征地和拆迁补偿支出（项）。</w:t>
      </w:r>
      <w:r>
        <w:rPr>
          <w:rFonts w:hint="eastAsia" w:ascii="仿宋" w:hAnsi="仿宋" w:eastAsia="仿宋" w:cs="Arial"/>
          <w:sz w:val="32"/>
          <w:szCs w:val="32"/>
        </w:rPr>
        <w:t>年初预算为0万元，支出决算为2210.44万元，决算数大于预算数的主要原因是追加了污水零直排建设项目经费。</w:t>
      </w:r>
    </w:p>
    <w:p>
      <w:pPr>
        <w:spacing w:line="600" w:lineRule="atLeast"/>
        <w:ind w:firstLine="640" w:firstLineChars="200"/>
        <w:jc w:val="both"/>
        <w:rPr>
          <w:highlight w:val="yellow"/>
        </w:rPr>
      </w:pPr>
      <w:r>
        <w:rPr>
          <w:rFonts w:hint="eastAsia" w:ascii="仿宋" w:hAnsi="仿宋" w:eastAsia="仿宋"/>
          <w:sz w:val="32"/>
          <w:szCs w:val="32"/>
        </w:rPr>
        <w:t>城乡社区支出（类）国有土地使用权出让收入及对应专项债务收入安排的支出（款）其他国有土地使用权出让收入安排的支出（项）</w:t>
      </w:r>
      <w:r>
        <w:rPr>
          <w:rFonts w:hint="eastAsia" w:ascii="仿宋" w:hAnsi="仿宋" w:eastAsia="仿宋" w:cs="Arial"/>
          <w:sz w:val="32"/>
          <w:szCs w:val="32"/>
        </w:rPr>
        <w:t>。年初预算为300万元，支出决算为735.42万元，完成年初预算的245.14%，决算数大于预算数的主要原因是追加了吕浦桥等危桥整治项目经费。</w:t>
      </w:r>
    </w:p>
    <w:p>
      <w:pPr>
        <w:spacing w:line="600" w:lineRule="atLeast"/>
        <w:ind w:firstLine="640"/>
        <w:jc w:val="both"/>
      </w:pPr>
      <w:r>
        <w:rPr>
          <w:rStyle w:val="7"/>
          <w:rFonts w:hint="eastAsia" w:ascii="楷体" w:hAnsi="楷体" w:eastAsia="楷体"/>
          <w:sz w:val="32"/>
          <w:szCs w:val="32"/>
        </w:rPr>
        <w:t>（八）</w:t>
      </w:r>
      <w:r>
        <w:rPr>
          <w:rStyle w:val="7"/>
          <w:rFonts w:hint="eastAsia" w:ascii="楷体" w:hAnsi="楷体" w:eastAsia="楷体" w:cs="Arial"/>
          <w:sz w:val="32"/>
          <w:szCs w:val="32"/>
        </w:rPr>
        <w:t>2019年度一般公共预算财政拨款“三公”经费支出决算情况说明</w:t>
      </w:r>
    </w:p>
    <w:p>
      <w:pPr>
        <w:spacing w:line="600" w:lineRule="atLeast"/>
        <w:ind w:firstLine="640"/>
        <w:jc w:val="both"/>
      </w:pPr>
      <w:r>
        <w:rPr>
          <w:rStyle w:val="7"/>
          <w:rFonts w:hint="eastAsia" w:ascii="仿宋" w:hAnsi="仿宋" w:eastAsia="仿宋" w:cs="Arial"/>
          <w:sz w:val="32"/>
          <w:szCs w:val="32"/>
        </w:rPr>
        <w:t xml:space="preserve">1.“三公”经费一般公共预算财政拨款支出决算总体情况说明。 </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2019年度“三公”经费一般公共预算财政拨款支出预算为149.1万元，支出决算为108.02万元，完成预算的72.45%,2019年度“三公”经费支出决算数小于预算数的主要原因是严格把控费用支出。</w:t>
      </w:r>
    </w:p>
    <w:p>
      <w:pPr>
        <w:spacing w:line="600" w:lineRule="atLeast"/>
        <w:ind w:firstLine="640"/>
        <w:jc w:val="both"/>
      </w:pPr>
      <w:r>
        <w:rPr>
          <w:rStyle w:val="7"/>
          <w:rFonts w:hint="eastAsia" w:ascii="仿宋" w:hAnsi="仿宋" w:eastAsia="仿宋" w:cs="Arial"/>
          <w:sz w:val="32"/>
          <w:szCs w:val="32"/>
        </w:rPr>
        <w:t>2.“三公”经费一般公共预算财政拨款支出决算具体情况说明。</w:t>
      </w:r>
    </w:p>
    <w:p>
      <w:pPr>
        <w:spacing w:line="600" w:lineRule="atLeast"/>
        <w:ind w:firstLine="640"/>
        <w:jc w:val="both"/>
      </w:pPr>
      <w:r>
        <w:rPr>
          <w:rFonts w:hint="eastAsia" w:ascii="仿宋" w:hAnsi="仿宋" w:eastAsia="仿宋" w:cs="Arial"/>
          <w:sz w:val="32"/>
          <w:szCs w:val="32"/>
        </w:rPr>
        <w:t>2019年度“三公”经费一般公共预算财政拨款支出决算中，因公出国（境）费用支出决算为0万元，占0%，与2018年度相比，减少1.5</w:t>
      </w:r>
      <w:r>
        <w:rPr>
          <w:rFonts w:hint="eastAsia" w:ascii="仿宋" w:hAnsi="仿宋" w:eastAsia="仿宋"/>
          <w:sz w:val="32"/>
          <w:szCs w:val="32"/>
        </w:rPr>
        <w:t>万元，下降</w:t>
      </w:r>
      <w:r>
        <w:rPr>
          <w:rFonts w:hint="eastAsia" w:ascii="仿宋" w:hAnsi="仿宋" w:eastAsia="仿宋" w:cs="Arial"/>
          <w:sz w:val="32"/>
          <w:szCs w:val="32"/>
        </w:rPr>
        <w:t>100%，主要原因是</w:t>
      </w:r>
      <w:r>
        <w:rPr>
          <w:rFonts w:hint="eastAsia" w:ascii="仿宋" w:hAnsi="仿宋" w:eastAsia="仿宋"/>
          <w:sz w:val="32"/>
          <w:szCs w:val="32"/>
        </w:rPr>
        <w:t>未安排公务出国；公务用车购置及运行维护费支出决算为</w:t>
      </w:r>
      <w:r>
        <w:rPr>
          <w:rFonts w:hint="eastAsia" w:ascii="仿宋" w:hAnsi="仿宋" w:eastAsia="仿宋" w:cs="Arial"/>
          <w:sz w:val="32"/>
          <w:szCs w:val="32"/>
        </w:rPr>
        <w:t>107.77万元，占99.77%，与2018年度相比，增加2.9</w:t>
      </w:r>
      <w:r>
        <w:rPr>
          <w:rFonts w:hint="eastAsia" w:ascii="仿宋" w:hAnsi="仿宋" w:eastAsia="仿宋"/>
          <w:sz w:val="32"/>
          <w:szCs w:val="32"/>
        </w:rPr>
        <w:t>万元，增长</w:t>
      </w:r>
      <w:r>
        <w:rPr>
          <w:rFonts w:hint="eastAsia" w:ascii="仿宋" w:hAnsi="仿宋" w:eastAsia="仿宋" w:cs="Arial"/>
          <w:sz w:val="32"/>
          <w:szCs w:val="32"/>
        </w:rPr>
        <w:t>2.77%，主要原因是</w:t>
      </w:r>
      <w:r>
        <w:rPr>
          <w:rFonts w:hint="eastAsia" w:ascii="仿宋" w:hAnsi="仿宋" w:eastAsia="仿宋"/>
          <w:sz w:val="32"/>
          <w:szCs w:val="32"/>
        </w:rPr>
        <w:t>车辆年久失修；公务接待费支出决算为</w:t>
      </w:r>
      <w:r>
        <w:rPr>
          <w:rFonts w:hint="eastAsia" w:ascii="仿宋" w:hAnsi="仿宋" w:eastAsia="仿宋" w:cs="Arial"/>
          <w:sz w:val="32"/>
          <w:szCs w:val="32"/>
        </w:rPr>
        <w:t>0.25万元，占0.23%，与2018年度相比，增加0.25</w:t>
      </w:r>
      <w:r>
        <w:rPr>
          <w:rFonts w:hint="eastAsia" w:ascii="仿宋" w:hAnsi="仿宋" w:eastAsia="仿宋"/>
          <w:sz w:val="32"/>
          <w:szCs w:val="32"/>
        </w:rPr>
        <w:t>万元，增长</w:t>
      </w:r>
      <w:r>
        <w:rPr>
          <w:rFonts w:hint="eastAsia" w:ascii="仿宋" w:hAnsi="仿宋" w:eastAsia="仿宋" w:cs="Arial"/>
          <w:sz w:val="32"/>
          <w:szCs w:val="32"/>
        </w:rPr>
        <w:t>100%，主要原因</w:t>
      </w:r>
      <w:r>
        <w:rPr>
          <w:rFonts w:hint="eastAsia" w:ascii="仿宋" w:hAnsi="仿宋" w:eastAsia="仿宋"/>
          <w:sz w:val="32"/>
          <w:szCs w:val="32"/>
        </w:rPr>
        <w:t>是检查督查组公务用餐。具体情况如下：</w:t>
      </w:r>
    </w:p>
    <w:p>
      <w:pPr>
        <w:numPr>
          <w:ilvl w:val="0"/>
          <w:numId w:val="2"/>
        </w:numPr>
        <w:spacing w:line="600" w:lineRule="atLeast"/>
        <w:ind w:firstLine="640"/>
        <w:jc w:val="both"/>
        <w:rPr>
          <w:rFonts w:ascii="仿宋" w:hAnsi="仿宋" w:eastAsia="仿宋" w:cs="Arial"/>
          <w:sz w:val="32"/>
          <w:szCs w:val="32"/>
        </w:rPr>
      </w:pPr>
      <w:r>
        <w:rPr>
          <w:rStyle w:val="7"/>
          <w:rFonts w:hint="eastAsia" w:ascii="仿宋" w:hAnsi="仿宋" w:eastAsia="仿宋" w:cs="Arial"/>
          <w:sz w:val="32"/>
          <w:szCs w:val="32"/>
        </w:rPr>
        <w:t>因公出国（境）费</w:t>
      </w:r>
      <w:r>
        <w:rPr>
          <w:rFonts w:hint="eastAsia" w:ascii="仿宋" w:hAnsi="仿宋" w:eastAsia="仿宋"/>
          <w:sz w:val="32"/>
          <w:szCs w:val="32"/>
        </w:rPr>
        <w:t>预算数为</w:t>
      </w:r>
      <w:r>
        <w:rPr>
          <w:rFonts w:hint="eastAsia" w:ascii="仿宋" w:hAnsi="仿宋" w:eastAsia="仿宋" w:cs="Arial"/>
          <w:sz w:val="32"/>
          <w:szCs w:val="32"/>
        </w:rPr>
        <w:t>0万元，支出决算为0万元。完成预算的100%。</w:t>
      </w:r>
    </w:p>
    <w:p>
      <w:pPr>
        <w:spacing w:line="600" w:lineRule="atLeast"/>
        <w:ind w:left="640" w:firstLine="320" w:firstLineChars="100"/>
        <w:jc w:val="both"/>
      </w:pPr>
      <w:r>
        <w:rPr>
          <w:rFonts w:hint="eastAsia" w:ascii="仿宋" w:hAnsi="仿宋" w:eastAsia="仿宋"/>
          <w:sz w:val="32"/>
          <w:szCs w:val="32"/>
        </w:rPr>
        <w:t>其中，全年使用一般公共预算财政拨款本单位组织因公出国</w:t>
      </w:r>
      <w:r>
        <w:rPr>
          <w:rFonts w:hint="eastAsia" w:ascii="仿宋" w:hAnsi="仿宋" w:eastAsia="仿宋" w:cs="Arial"/>
          <w:sz w:val="32"/>
          <w:szCs w:val="32"/>
        </w:rPr>
        <w:t>(境)团组0个；本单位全年因公出国(境)累计0人次。</w:t>
      </w:r>
    </w:p>
    <w:p>
      <w:pPr>
        <w:spacing w:line="600" w:lineRule="atLeast"/>
        <w:ind w:firstLine="640"/>
        <w:jc w:val="both"/>
      </w:pPr>
      <w:r>
        <w:rPr>
          <w:rStyle w:val="7"/>
          <w:rFonts w:hint="eastAsia" w:ascii="仿宋" w:hAnsi="仿宋" w:eastAsia="仿宋"/>
          <w:sz w:val="32"/>
          <w:szCs w:val="32"/>
        </w:rPr>
        <w:t>（</w:t>
      </w:r>
      <w:r>
        <w:rPr>
          <w:rStyle w:val="7"/>
          <w:rFonts w:hint="eastAsia" w:ascii="仿宋" w:hAnsi="仿宋" w:eastAsia="仿宋" w:cs="Arial"/>
          <w:sz w:val="32"/>
          <w:szCs w:val="32"/>
        </w:rPr>
        <w:t>2）公务用车购置及运行维护费</w:t>
      </w:r>
      <w:r>
        <w:rPr>
          <w:rFonts w:hint="eastAsia" w:ascii="仿宋" w:hAnsi="仿宋" w:eastAsia="仿宋"/>
          <w:sz w:val="32"/>
          <w:szCs w:val="32"/>
        </w:rPr>
        <w:t>预算数为147.6</w:t>
      </w:r>
      <w:r>
        <w:rPr>
          <w:rFonts w:hint="eastAsia" w:ascii="仿宋" w:hAnsi="仿宋" w:eastAsia="仿宋" w:cs="Arial"/>
          <w:sz w:val="32"/>
          <w:szCs w:val="32"/>
        </w:rPr>
        <w:t>万元，支出决算为107.77万元，完成预算的73.01%。决算数小于预算数的主要原因是控制费用开支取得成效。</w:t>
      </w:r>
    </w:p>
    <w:p>
      <w:pPr>
        <w:spacing w:line="600" w:lineRule="atLeast"/>
        <w:ind w:firstLine="640"/>
        <w:jc w:val="both"/>
      </w:pPr>
      <w:r>
        <w:rPr>
          <w:rStyle w:val="7"/>
          <w:rFonts w:hint="eastAsia" w:ascii="仿宋" w:hAnsi="仿宋" w:eastAsia="仿宋"/>
          <w:sz w:val="32"/>
          <w:szCs w:val="32"/>
        </w:rPr>
        <w:t>公务用车购置</w:t>
      </w:r>
      <w:r>
        <w:rPr>
          <w:rFonts w:hint="eastAsia" w:ascii="仿宋" w:hAnsi="仿宋" w:eastAsia="仿宋"/>
          <w:sz w:val="32"/>
          <w:szCs w:val="32"/>
        </w:rPr>
        <w:t>支出</w:t>
      </w:r>
      <w:r>
        <w:rPr>
          <w:rFonts w:hint="eastAsia" w:ascii="仿宋" w:hAnsi="仿宋" w:eastAsia="仿宋" w:cs="Arial"/>
          <w:sz w:val="32"/>
          <w:szCs w:val="32"/>
        </w:rPr>
        <w:t>0万元（含购置税等附加费用），主要用于经批准购置的0辆公务用车；</w:t>
      </w:r>
    </w:p>
    <w:p>
      <w:pPr>
        <w:spacing w:line="600" w:lineRule="atLeast"/>
        <w:ind w:firstLine="640"/>
        <w:jc w:val="both"/>
      </w:pPr>
      <w:r>
        <w:rPr>
          <w:rStyle w:val="7"/>
          <w:rFonts w:hint="eastAsia" w:ascii="仿宋" w:hAnsi="仿宋" w:eastAsia="仿宋"/>
          <w:sz w:val="32"/>
          <w:szCs w:val="32"/>
        </w:rPr>
        <w:t>公务用车运行维护费</w:t>
      </w:r>
      <w:r>
        <w:rPr>
          <w:rFonts w:hint="eastAsia" w:ascii="仿宋" w:hAnsi="仿宋" w:eastAsia="仿宋"/>
          <w:sz w:val="32"/>
          <w:szCs w:val="32"/>
        </w:rPr>
        <w:t>支出</w:t>
      </w:r>
      <w:r>
        <w:rPr>
          <w:rFonts w:hint="eastAsia" w:ascii="仿宋" w:hAnsi="仿宋" w:eastAsia="仿宋" w:cs="Arial"/>
          <w:sz w:val="32"/>
          <w:szCs w:val="32"/>
        </w:rPr>
        <w:t>107.77万元，主要用于</w:t>
      </w:r>
      <w:r>
        <w:rPr>
          <w:rFonts w:hint="eastAsia" w:ascii="仿宋" w:hAnsi="仿宋" w:eastAsia="仿宋"/>
          <w:sz w:val="32"/>
          <w:szCs w:val="32"/>
        </w:rPr>
        <w:t>执法用车所需的公务用车燃料费、维修费、过路过桥费、保险费、安全奖励费用等支出；</w:t>
      </w:r>
      <w:r>
        <w:rPr>
          <w:rFonts w:hint="eastAsia" w:ascii="仿宋" w:hAnsi="仿宋" w:eastAsia="仿宋" w:cs="Arial"/>
          <w:sz w:val="32"/>
          <w:szCs w:val="32"/>
        </w:rPr>
        <w:t>2019年度，本级及所属单位开支一般公共预算财政拨款的公务用车保有量为43辆。</w:t>
      </w:r>
    </w:p>
    <w:p>
      <w:pPr>
        <w:spacing w:line="600" w:lineRule="atLeast"/>
        <w:ind w:firstLine="640"/>
        <w:jc w:val="both"/>
        <w:rPr>
          <w:highlight w:val="yellow"/>
        </w:rPr>
      </w:pPr>
      <w:r>
        <w:rPr>
          <w:rStyle w:val="7"/>
          <w:rFonts w:hint="eastAsia" w:ascii="仿宋" w:hAnsi="仿宋" w:eastAsia="仿宋"/>
          <w:sz w:val="32"/>
          <w:szCs w:val="32"/>
        </w:rPr>
        <w:t>（</w:t>
      </w:r>
      <w:r>
        <w:rPr>
          <w:rStyle w:val="7"/>
          <w:rFonts w:hint="eastAsia" w:ascii="仿宋" w:hAnsi="仿宋" w:eastAsia="仿宋" w:cs="Arial"/>
          <w:sz w:val="32"/>
          <w:szCs w:val="32"/>
        </w:rPr>
        <w:t>3）公务接待费</w:t>
      </w:r>
      <w:r>
        <w:rPr>
          <w:rFonts w:hint="eastAsia" w:ascii="仿宋" w:hAnsi="仿宋" w:eastAsia="仿宋"/>
          <w:sz w:val="32"/>
          <w:szCs w:val="32"/>
        </w:rPr>
        <w:t>预算数为1.5</w:t>
      </w:r>
      <w:r>
        <w:rPr>
          <w:rFonts w:hint="eastAsia" w:ascii="仿宋" w:hAnsi="仿宋" w:eastAsia="仿宋" w:cs="Arial"/>
          <w:sz w:val="32"/>
          <w:szCs w:val="32"/>
        </w:rPr>
        <w:t>万元，支出决算为0.25万元，完成预算的16.67%。主要用于接待支出。决算数小于预算数的主要原因是内控。全年使用一般公共预算财政拨款国内公务接待2批次，累计22人次。</w:t>
      </w:r>
    </w:p>
    <w:p>
      <w:pPr>
        <w:spacing w:line="600" w:lineRule="atLeast"/>
        <w:ind w:firstLine="640"/>
        <w:jc w:val="both"/>
      </w:pPr>
      <w:r>
        <w:rPr>
          <w:rStyle w:val="7"/>
          <w:rFonts w:hint="eastAsia" w:ascii="仿宋" w:hAnsi="仿宋" w:eastAsia="仿宋"/>
          <w:sz w:val="32"/>
          <w:szCs w:val="32"/>
        </w:rPr>
        <w:t>外宾接待</w:t>
      </w:r>
      <w:r>
        <w:rPr>
          <w:rFonts w:hint="eastAsia" w:ascii="仿宋" w:hAnsi="仿宋" w:eastAsia="仿宋"/>
          <w:sz w:val="32"/>
          <w:szCs w:val="32"/>
        </w:rPr>
        <w:t>支出</w:t>
      </w:r>
      <w:r>
        <w:rPr>
          <w:rFonts w:hint="eastAsia" w:ascii="仿宋" w:hAnsi="仿宋" w:eastAsia="仿宋" w:cs="Arial"/>
          <w:sz w:val="32"/>
          <w:szCs w:val="32"/>
        </w:rPr>
        <w:t>0万元，；接待0人次，0批次。</w:t>
      </w:r>
    </w:p>
    <w:p>
      <w:pPr>
        <w:spacing w:line="600" w:lineRule="atLeast"/>
        <w:ind w:firstLine="640"/>
        <w:jc w:val="both"/>
      </w:pPr>
      <w:r>
        <w:rPr>
          <w:rStyle w:val="7"/>
          <w:rFonts w:hint="eastAsia" w:ascii="仿宋" w:hAnsi="仿宋" w:eastAsia="仿宋"/>
          <w:sz w:val="32"/>
          <w:szCs w:val="32"/>
        </w:rPr>
        <w:t>其他国内公务接待</w:t>
      </w:r>
      <w:r>
        <w:rPr>
          <w:rFonts w:hint="eastAsia" w:ascii="仿宋" w:hAnsi="仿宋" w:eastAsia="仿宋"/>
          <w:sz w:val="32"/>
          <w:szCs w:val="32"/>
        </w:rPr>
        <w:t>支出</w:t>
      </w:r>
      <w:r>
        <w:rPr>
          <w:rFonts w:hint="eastAsia" w:ascii="仿宋" w:hAnsi="仿宋" w:eastAsia="仿宋" w:cs="Arial"/>
          <w:sz w:val="32"/>
          <w:szCs w:val="32"/>
        </w:rPr>
        <w:t>0.25万元，主要用于</w:t>
      </w:r>
      <w:r>
        <w:rPr>
          <w:rFonts w:hint="eastAsia" w:ascii="仿宋" w:hAnsi="仿宋" w:eastAsia="仿宋"/>
          <w:sz w:val="32"/>
          <w:szCs w:val="32"/>
        </w:rPr>
        <w:t>公务用餐。接待</w:t>
      </w:r>
      <w:r>
        <w:rPr>
          <w:rFonts w:hint="eastAsia" w:ascii="仿宋" w:hAnsi="仿宋" w:eastAsia="仿宋" w:cs="Arial"/>
          <w:sz w:val="32"/>
          <w:szCs w:val="32"/>
        </w:rPr>
        <w:t>22人次，2批次。</w:t>
      </w:r>
    </w:p>
    <w:p>
      <w:pPr>
        <w:spacing w:line="600" w:lineRule="atLeast"/>
        <w:ind w:firstLine="640"/>
        <w:jc w:val="both"/>
      </w:pPr>
      <w:r>
        <w:rPr>
          <w:rStyle w:val="7"/>
          <w:rFonts w:hint="eastAsia" w:ascii="楷体" w:hAnsi="楷体" w:eastAsia="楷体"/>
          <w:sz w:val="32"/>
          <w:szCs w:val="32"/>
        </w:rPr>
        <w:t>（九）部门预算绩效情况说明</w:t>
      </w:r>
    </w:p>
    <w:p>
      <w:pPr>
        <w:spacing w:line="600" w:lineRule="atLeast"/>
        <w:ind w:firstLine="640"/>
        <w:jc w:val="both"/>
        <w:rPr>
          <w:rStyle w:val="7"/>
          <w:rFonts w:hint="eastAsia" w:ascii="仿宋" w:hAnsi="仿宋" w:eastAsia="仿宋" w:cs="Arial"/>
          <w:sz w:val="32"/>
          <w:szCs w:val="32"/>
        </w:rPr>
      </w:pPr>
      <w:r>
        <w:rPr>
          <w:rStyle w:val="7"/>
          <w:rFonts w:hint="eastAsia" w:ascii="仿宋" w:hAnsi="仿宋" w:eastAsia="仿宋" w:cs="Arial"/>
          <w:sz w:val="32"/>
          <w:szCs w:val="32"/>
        </w:rPr>
        <w:t>1.预算绩效管理工作开展情况。</w:t>
      </w:r>
    </w:p>
    <w:p>
      <w:pPr>
        <w:spacing w:line="600" w:lineRule="atLeast"/>
        <w:ind w:firstLine="640"/>
        <w:jc w:val="both"/>
        <w:rPr>
          <w:rFonts w:hint="eastAsia" w:ascii="仿宋" w:hAnsi="仿宋" w:eastAsia="仿宋" w:cs="Arial"/>
          <w:sz w:val="32"/>
          <w:szCs w:val="32"/>
        </w:rPr>
      </w:pPr>
      <w:r>
        <w:rPr>
          <w:rFonts w:hint="eastAsia" w:ascii="仿宋" w:hAnsi="仿宋" w:eastAsia="仿宋"/>
          <w:sz w:val="32"/>
          <w:szCs w:val="32"/>
        </w:rPr>
        <w:t>根据预算绩效管理要求，温州市鹿城区综合行政执法局组织对</w:t>
      </w:r>
      <w:r>
        <w:rPr>
          <w:rFonts w:hint="eastAsia" w:ascii="仿宋" w:hAnsi="仿宋" w:eastAsia="仿宋" w:cs="Arial"/>
          <w:sz w:val="32"/>
          <w:szCs w:val="32"/>
        </w:rPr>
        <w:t>2019年度一般公共预算项目支出全面开展绩效自评，其中，一级项目</w:t>
      </w:r>
      <w:r>
        <w:rPr>
          <w:rFonts w:hint="eastAsia" w:ascii="仿宋" w:hAnsi="仿宋" w:eastAsia="仿宋" w:cs="Arial"/>
          <w:sz w:val="32"/>
          <w:szCs w:val="32"/>
          <w:lang w:val="en-US" w:eastAsia="zh-CN"/>
        </w:rPr>
        <w:t>0</w:t>
      </w:r>
      <w:r>
        <w:rPr>
          <w:rFonts w:hint="eastAsia" w:ascii="仿宋" w:hAnsi="仿宋" w:eastAsia="仿宋"/>
          <w:sz w:val="32"/>
          <w:szCs w:val="32"/>
        </w:rPr>
        <w:t>个，二级项目</w:t>
      </w:r>
      <w:r>
        <w:rPr>
          <w:rFonts w:hint="eastAsia" w:ascii="仿宋" w:hAnsi="仿宋" w:eastAsia="仿宋" w:cs="Arial"/>
          <w:sz w:val="32"/>
          <w:szCs w:val="32"/>
        </w:rPr>
        <w:t>81</w:t>
      </w:r>
      <w:r>
        <w:rPr>
          <w:rFonts w:hint="eastAsia" w:ascii="仿宋" w:hAnsi="仿宋" w:eastAsia="仿宋"/>
          <w:sz w:val="32"/>
          <w:szCs w:val="32"/>
        </w:rPr>
        <w:t>个，共涉及资金</w:t>
      </w:r>
      <w:r>
        <w:rPr>
          <w:rFonts w:hint="eastAsia" w:ascii="仿宋" w:hAnsi="仿宋" w:eastAsia="仿宋" w:cs="Arial"/>
          <w:sz w:val="32"/>
          <w:szCs w:val="32"/>
        </w:rPr>
        <w:t>41477.84</w:t>
      </w:r>
      <w:r>
        <w:rPr>
          <w:rFonts w:hint="eastAsia" w:ascii="仿宋" w:hAnsi="仿宋" w:eastAsia="仿宋"/>
          <w:sz w:val="32"/>
          <w:szCs w:val="32"/>
        </w:rPr>
        <w:t>万元，占一般公共预算项目支出总额的</w:t>
      </w:r>
      <w:r>
        <w:rPr>
          <w:rFonts w:hint="eastAsia" w:ascii="仿宋" w:hAnsi="仿宋" w:eastAsia="仿宋" w:cs="Arial"/>
          <w:sz w:val="32"/>
          <w:szCs w:val="32"/>
        </w:rPr>
        <w:t>100%。组织对2019年度3</w:t>
      </w:r>
      <w:r>
        <w:rPr>
          <w:rFonts w:hint="eastAsia" w:ascii="仿宋" w:hAnsi="仿宋" w:eastAsia="仿宋"/>
          <w:sz w:val="32"/>
          <w:szCs w:val="32"/>
        </w:rPr>
        <w:t>个政府性基金预算项目支出开展绩效自评，共涉及资金</w:t>
      </w:r>
      <w:r>
        <w:rPr>
          <w:rFonts w:hint="eastAsia" w:ascii="仿宋" w:hAnsi="仿宋" w:eastAsia="仿宋" w:cs="Arial"/>
          <w:sz w:val="32"/>
          <w:szCs w:val="32"/>
        </w:rPr>
        <w:t>2945.86</w:t>
      </w:r>
      <w:r>
        <w:rPr>
          <w:rFonts w:hint="eastAsia" w:ascii="仿宋" w:hAnsi="仿宋" w:eastAsia="仿宋"/>
          <w:sz w:val="32"/>
          <w:szCs w:val="32"/>
        </w:rPr>
        <w:t>万元，占政府性基金预算项目支出总额的</w:t>
      </w:r>
      <w:r>
        <w:rPr>
          <w:rFonts w:hint="eastAsia" w:ascii="仿宋" w:hAnsi="仿宋" w:eastAsia="仿宋" w:cs="Arial"/>
          <w:sz w:val="32"/>
          <w:szCs w:val="32"/>
        </w:rPr>
        <w:t>100%。</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rPr>
        <w:t>组织对</w:t>
      </w:r>
      <w:r>
        <w:rPr>
          <w:rFonts w:hint="eastAsia" w:ascii="仿宋" w:hAnsi="仿宋" w:eastAsia="仿宋" w:cs="Arial"/>
          <w:kern w:val="0"/>
          <w:sz w:val="32"/>
          <w:szCs w:val="32"/>
        </w:rPr>
        <w:t>0</w:t>
      </w:r>
      <w:r>
        <w:rPr>
          <w:rFonts w:hint="eastAsia" w:ascii="仿宋" w:hAnsi="仿宋" w:eastAsia="仿宋" w:cs="仿宋"/>
          <w:kern w:val="0"/>
          <w:sz w:val="32"/>
          <w:szCs w:val="32"/>
        </w:rPr>
        <w:t>个项目开展了部门评价，涉及一般公共预算支出</w:t>
      </w:r>
      <w:r>
        <w:rPr>
          <w:rFonts w:hint="eastAsia" w:ascii="仿宋" w:hAnsi="仿宋" w:eastAsia="仿宋" w:cs="Arial"/>
          <w:kern w:val="0"/>
          <w:sz w:val="32"/>
          <w:szCs w:val="32"/>
        </w:rPr>
        <w:t>0</w:t>
      </w:r>
      <w:r>
        <w:rPr>
          <w:rFonts w:hint="eastAsia" w:ascii="仿宋" w:hAnsi="仿宋" w:eastAsia="仿宋" w:cs="仿宋"/>
          <w:kern w:val="0"/>
          <w:sz w:val="32"/>
          <w:szCs w:val="32"/>
        </w:rPr>
        <w:t>万元，政府性基金预算支出</w:t>
      </w:r>
      <w:r>
        <w:rPr>
          <w:rFonts w:hint="eastAsia" w:ascii="仿宋" w:hAnsi="仿宋" w:eastAsia="仿宋" w:cs="Arial"/>
          <w:kern w:val="0"/>
          <w:sz w:val="32"/>
          <w:szCs w:val="32"/>
        </w:rPr>
        <w:t>0</w:t>
      </w:r>
      <w:r>
        <w:rPr>
          <w:rFonts w:hint="eastAsia" w:ascii="仿宋" w:hAnsi="仿宋" w:eastAsia="仿宋" w:cs="仿宋"/>
          <w:kern w:val="0"/>
          <w:sz w:val="32"/>
          <w:szCs w:val="32"/>
        </w:rPr>
        <w:t>万元。其中，对</w:t>
      </w:r>
      <w:r>
        <w:rPr>
          <w:rFonts w:hint="eastAsia" w:ascii="仿宋" w:hAnsi="仿宋" w:eastAsia="仿宋" w:cs="Arial"/>
          <w:kern w:val="0"/>
          <w:sz w:val="32"/>
          <w:szCs w:val="32"/>
        </w:rPr>
        <w:t>0个</w:t>
      </w:r>
      <w:r>
        <w:rPr>
          <w:rFonts w:hint="eastAsia" w:ascii="仿宋" w:hAnsi="仿宋" w:eastAsia="仿宋" w:cs="仿宋"/>
          <w:kern w:val="0"/>
          <w:sz w:val="32"/>
          <w:szCs w:val="32"/>
        </w:rPr>
        <w:t>项目分别委托第三方机构（或局内评审机构）开展绩效评价。</w:t>
      </w:r>
    </w:p>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rPr>
      </w:pPr>
      <w:r>
        <w:rPr>
          <w:rFonts w:hint="eastAsia" w:ascii="仿宋" w:hAnsi="仿宋" w:eastAsia="仿宋" w:cs="仿宋"/>
          <w:kern w:val="0"/>
          <w:sz w:val="32"/>
          <w:szCs w:val="32"/>
        </w:rPr>
        <w:t>组织对</w:t>
      </w:r>
      <w:r>
        <w:rPr>
          <w:rFonts w:hint="eastAsia" w:ascii="仿宋" w:hAnsi="仿宋" w:eastAsia="仿宋" w:cs="Arial"/>
          <w:kern w:val="0"/>
          <w:sz w:val="32"/>
          <w:szCs w:val="32"/>
        </w:rPr>
        <w:t>0</w:t>
      </w:r>
      <w:r>
        <w:rPr>
          <w:rFonts w:hint="eastAsia" w:ascii="仿宋" w:hAnsi="仿宋" w:eastAsia="仿宋" w:cs="仿宋"/>
          <w:kern w:val="0"/>
          <w:sz w:val="32"/>
          <w:szCs w:val="32"/>
        </w:rPr>
        <w:t>个部门（单位）开展整体支出绩效评价试点，涉及一般公共预算支出</w:t>
      </w:r>
      <w:r>
        <w:rPr>
          <w:rFonts w:hint="eastAsia" w:ascii="仿宋" w:hAnsi="仿宋" w:eastAsia="仿宋" w:cs="Arial"/>
          <w:kern w:val="0"/>
          <w:sz w:val="32"/>
          <w:szCs w:val="32"/>
        </w:rPr>
        <w:t>0</w:t>
      </w:r>
      <w:r>
        <w:rPr>
          <w:rFonts w:hint="eastAsia" w:ascii="仿宋" w:hAnsi="仿宋" w:eastAsia="仿宋" w:cs="仿宋"/>
          <w:kern w:val="0"/>
          <w:sz w:val="32"/>
          <w:szCs w:val="32"/>
        </w:rPr>
        <w:t>万元，政府性基金预算支出</w:t>
      </w:r>
      <w:r>
        <w:rPr>
          <w:rFonts w:hint="eastAsia" w:ascii="仿宋" w:hAnsi="仿宋" w:eastAsia="仿宋" w:cs="Arial"/>
          <w:kern w:val="0"/>
          <w:sz w:val="32"/>
          <w:szCs w:val="32"/>
        </w:rPr>
        <w:t>0</w:t>
      </w:r>
      <w:r>
        <w:rPr>
          <w:rFonts w:hint="eastAsia" w:ascii="仿宋" w:hAnsi="仿宋" w:eastAsia="仿宋" w:cs="仿宋"/>
          <w:kern w:val="0"/>
          <w:sz w:val="32"/>
          <w:szCs w:val="32"/>
        </w:rPr>
        <w:t>万元。其中，对</w:t>
      </w:r>
      <w:r>
        <w:rPr>
          <w:rFonts w:hint="eastAsia" w:ascii="仿宋" w:hAnsi="仿宋" w:eastAsia="仿宋" w:cs="Arial"/>
          <w:kern w:val="0"/>
          <w:sz w:val="32"/>
          <w:szCs w:val="32"/>
        </w:rPr>
        <w:t>0个</w:t>
      </w:r>
      <w:r>
        <w:rPr>
          <w:rFonts w:hint="eastAsia" w:ascii="仿宋" w:hAnsi="仿宋" w:eastAsia="仿宋" w:cs="仿宋"/>
          <w:kern w:val="0"/>
          <w:sz w:val="32"/>
          <w:szCs w:val="32"/>
        </w:rPr>
        <w:t>部门（单位）整体支出分别委托第三方机构（或局内评审机构）开展绩效评价。</w:t>
      </w:r>
    </w:p>
    <w:p>
      <w:pPr>
        <w:numPr>
          <w:ilvl w:val="0"/>
          <w:numId w:val="3"/>
        </w:numPr>
        <w:spacing w:line="600" w:lineRule="atLeast"/>
        <w:ind w:left="0" w:firstLine="640"/>
        <w:jc w:val="both"/>
        <w:rPr>
          <w:rStyle w:val="10"/>
          <w:rFonts w:hint="eastAsia" w:ascii="宋体" w:hAnsi="宋体" w:eastAsia="宋体" w:cs="宋体"/>
          <w:b/>
          <w:sz w:val="32"/>
          <w:szCs w:val="32"/>
        </w:rPr>
      </w:pPr>
      <w:r>
        <w:rPr>
          <w:rStyle w:val="10"/>
          <w:rFonts w:hint="eastAsia" w:ascii="宋体" w:hAnsi="宋体" w:eastAsia="宋体" w:cs="宋体"/>
          <w:b/>
          <w:sz w:val="32"/>
          <w:szCs w:val="32"/>
        </w:rPr>
        <w:t>部门决算中项目绩效自评结果（至少公开</w:t>
      </w:r>
      <w:r>
        <w:rPr>
          <w:rStyle w:val="10"/>
          <w:rFonts w:hint="eastAsia" w:ascii="仿宋" w:hAnsi="仿宋" w:eastAsia="仿宋" w:cs="Arial"/>
          <w:b/>
          <w:sz w:val="32"/>
          <w:szCs w:val="32"/>
        </w:rPr>
        <w:t>2</w:t>
      </w:r>
      <w:r>
        <w:rPr>
          <w:rStyle w:val="10"/>
          <w:rFonts w:hint="eastAsia" w:ascii="宋体" w:hAnsi="宋体" w:eastAsia="宋体" w:cs="宋体"/>
          <w:b/>
          <w:sz w:val="32"/>
          <w:szCs w:val="32"/>
        </w:rPr>
        <w:t>个项目绩效自评结果，附绩效自评表）</w:t>
      </w:r>
    </w:p>
    <w:p>
      <w:pPr>
        <w:spacing w:line="600" w:lineRule="atLeast"/>
        <w:ind w:firstLine="640"/>
        <w:jc w:val="both"/>
      </w:pPr>
      <w:r>
        <w:rPr>
          <w:rFonts w:hint="eastAsia" w:ascii="仿宋" w:hAnsi="仿宋" w:eastAsia="仿宋"/>
          <w:sz w:val="32"/>
          <w:szCs w:val="32"/>
        </w:rPr>
        <w:t>温州市鹿城区综合行政执法局</w:t>
      </w:r>
      <w:r>
        <w:rPr>
          <w:rFonts w:hint="eastAsia" w:ascii="仿宋" w:hAnsi="仿宋" w:eastAsia="仿宋" w:cs="Arial"/>
          <w:sz w:val="32"/>
          <w:szCs w:val="32"/>
        </w:rPr>
        <w:t>在2019年度部门决算中反映绿化建设及养护费及物业管理费的项目绩效自评结果。</w:t>
      </w:r>
    </w:p>
    <w:p>
      <w:pPr>
        <w:spacing w:line="600" w:lineRule="atLeast"/>
        <w:ind w:firstLine="640"/>
        <w:jc w:val="both"/>
        <w:rPr>
          <w:rFonts w:hint="eastAsia" w:ascii="仿宋" w:hAnsi="仿宋" w:eastAsia="仿宋" w:cs="Arial"/>
          <w:sz w:val="32"/>
          <w:szCs w:val="32"/>
          <w:lang w:val="en-US" w:eastAsia="zh-CN"/>
        </w:rPr>
      </w:pPr>
      <w:r>
        <w:rPr>
          <w:rFonts w:hint="eastAsia" w:ascii="仿宋" w:hAnsi="仿宋" w:eastAsia="仿宋" w:cs="Arial"/>
          <w:sz w:val="32"/>
          <w:szCs w:val="32"/>
        </w:rPr>
        <w:t>绿化建设及养护费项目绩效自评综述：根据年初设定的绩效目标，项目自评得分100分，自评结论为“优秀”。项目全年预算数为2650万元，执行数为2645.98万元，完成预算的99.85%。</w:t>
      </w:r>
      <w:r>
        <w:rPr>
          <w:rFonts w:hint="eastAsia" w:ascii="仿宋" w:hAnsi="仿宋" w:eastAsia="仿宋" w:cs="Arial"/>
          <w:sz w:val="32"/>
          <w:szCs w:val="32"/>
          <w:lang w:eastAsia="zh-CN"/>
        </w:rPr>
        <w:t>项目绩效目标完成情况：一是项目产出目标已全部完成，二是项目效益指标已全部完成。</w:t>
      </w:r>
      <w:r>
        <w:rPr>
          <w:rFonts w:hint="eastAsia" w:ascii="仿宋" w:hAnsi="Times New Roman" w:eastAsia="仿宋"/>
          <w:color w:val="000000"/>
          <w:sz w:val="32"/>
        </w:rPr>
        <w:t>发现的问题及原因：</w:t>
      </w:r>
      <w:r>
        <w:rPr>
          <w:rFonts w:hint="eastAsia" w:ascii="仿宋" w:hAnsi="Times New Roman" w:eastAsia="仿宋"/>
          <w:color w:val="000000"/>
          <w:sz w:val="32"/>
          <w:lang w:val="en-US" w:eastAsia="zh-CN"/>
        </w:rPr>
        <w:t>无</w:t>
      </w:r>
      <w:r>
        <w:rPr>
          <w:rFonts w:hint="eastAsia" w:ascii="仿宋" w:hAnsi="Times New Roman" w:eastAsia="仿宋"/>
          <w:color w:val="000000"/>
          <w:sz w:val="32"/>
        </w:rPr>
        <w:t>。下一步改进措施：</w:t>
      </w:r>
      <w:r>
        <w:rPr>
          <w:rFonts w:hint="eastAsia" w:ascii="仿宋" w:hAnsi="Times New Roman" w:eastAsia="仿宋"/>
          <w:color w:val="000000"/>
          <w:sz w:val="32"/>
          <w:lang w:val="en-US" w:eastAsia="zh-CN"/>
        </w:rPr>
        <w:t>无</w:t>
      </w:r>
      <w:r>
        <w:rPr>
          <w:rFonts w:hint="eastAsia" w:ascii="仿宋" w:hAnsi="Times New Roman" w:eastAsia="仿宋"/>
          <w:color w:val="000000"/>
          <w:sz w:val="32"/>
        </w:rPr>
        <w:t>。</w:t>
      </w:r>
    </w:p>
    <w:p>
      <w:pPr>
        <w:spacing w:line="600" w:lineRule="atLeast"/>
        <w:ind w:firstLine="640"/>
        <w:jc w:val="both"/>
        <w:rPr>
          <w:rFonts w:hint="default" w:ascii="仿宋" w:hAnsi="仿宋" w:eastAsia="仿宋" w:cs="Arial"/>
          <w:sz w:val="32"/>
          <w:szCs w:val="32"/>
          <w:lang w:val="en-US" w:eastAsia="zh-CN"/>
        </w:rPr>
      </w:pPr>
      <w:r>
        <w:rPr>
          <w:rFonts w:hint="eastAsia" w:ascii="仿宋" w:hAnsi="仿宋" w:eastAsia="仿宋" w:cs="Arial"/>
          <w:sz w:val="32"/>
          <w:szCs w:val="32"/>
        </w:rPr>
        <w:t>物业管理费项目绩效自评综述：根据年初设定的绩效目标，项目自评得分100分，自评结论为“优秀”。项目全年预算数为65万元，执行数为65万元，完成预算的100%。</w:t>
      </w:r>
      <w:r>
        <w:rPr>
          <w:rFonts w:hint="eastAsia" w:ascii="仿宋" w:hAnsi="仿宋" w:eastAsia="仿宋" w:cs="Arial"/>
          <w:sz w:val="32"/>
          <w:szCs w:val="32"/>
          <w:lang w:eastAsia="zh-CN"/>
        </w:rPr>
        <w:t>项目绩效目标</w:t>
      </w:r>
      <w:bookmarkStart w:id="0" w:name="_GoBack"/>
      <w:bookmarkEnd w:id="0"/>
      <w:r>
        <w:rPr>
          <w:rFonts w:hint="eastAsia" w:ascii="仿宋" w:hAnsi="仿宋" w:eastAsia="仿宋" w:cs="Arial"/>
          <w:sz w:val="32"/>
          <w:szCs w:val="32"/>
          <w:lang w:eastAsia="zh-CN"/>
        </w:rPr>
        <w:t>完成情况：一是项目产出目标已全部完成，二是项目效益指标已全部完成。</w:t>
      </w:r>
      <w:r>
        <w:rPr>
          <w:rFonts w:hint="eastAsia" w:ascii="仿宋" w:hAnsi="Times New Roman" w:eastAsia="仿宋"/>
          <w:color w:val="000000"/>
          <w:sz w:val="32"/>
        </w:rPr>
        <w:t>发现的问题及原因：</w:t>
      </w:r>
      <w:r>
        <w:rPr>
          <w:rFonts w:hint="eastAsia" w:ascii="仿宋" w:hAnsi="Times New Roman" w:eastAsia="仿宋"/>
          <w:color w:val="000000"/>
          <w:sz w:val="32"/>
          <w:lang w:val="en-US" w:eastAsia="zh-CN"/>
        </w:rPr>
        <w:t>无</w:t>
      </w:r>
      <w:r>
        <w:rPr>
          <w:rFonts w:hint="eastAsia" w:ascii="仿宋" w:hAnsi="Times New Roman" w:eastAsia="仿宋"/>
          <w:color w:val="000000"/>
          <w:sz w:val="32"/>
        </w:rPr>
        <w:t>。下一步改进措施：</w:t>
      </w:r>
      <w:r>
        <w:rPr>
          <w:rFonts w:hint="eastAsia" w:ascii="仿宋" w:hAnsi="Times New Roman" w:eastAsia="仿宋"/>
          <w:color w:val="000000"/>
          <w:sz w:val="32"/>
          <w:lang w:val="en-US" w:eastAsia="zh-CN"/>
        </w:rPr>
        <w:t>无</w:t>
      </w:r>
      <w:r>
        <w:rPr>
          <w:rFonts w:hint="eastAsia" w:ascii="仿宋" w:hAnsi="Times New Roman" w:eastAsia="仿宋"/>
          <w:color w:val="000000"/>
          <w:sz w:val="32"/>
        </w:rPr>
        <w:t>。</w:t>
      </w:r>
    </w:p>
    <w:tbl>
      <w:tblPr>
        <w:tblStyle w:val="4"/>
        <w:tblW w:w="17807" w:type="dxa"/>
        <w:tblInd w:w="0" w:type="dxa"/>
        <w:shd w:val="clear" w:color="auto" w:fill="auto"/>
        <w:tblLayout w:type="fixed"/>
        <w:tblCellMar>
          <w:top w:w="0" w:type="dxa"/>
          <w:left w:w="0" w:type="dxa"/>
          <w:bottom w:w="0" w:type="dxa"/>
          <w:right w:w="0" w:type="dxa"/>
        </w:tblCellMar>
      </w:tblPr>
      <w:tblGrid>
        <w:gridCol w:w="1320"/>
        <w:gridCol w:w="105"/>
        <w:gridCol w:w="615"/>
        <w:gridCol w:w="225"/>
        <w:gridCol w:w="90"/>
        <w:gridCol w:w="810"/>
        <w:gridCol w:w="645"/>
        <w:gridCol w:w="645"/>
        <w:gridCol w:w="285"/>
        <w:gridCol w:w="210"/>
        <w:gridCol w:w="495"/>
        <w:gridCol w:w="240"/>
        <w:gridCol w:w="210"/>
        <w:gridCol w:w="465"/>
        <w:gridCol w:w="330"/>
        <w:gridCol w:w="230"/>
        <w:gridCol w:w="10"/>
        <w:gridCol w:w="378"/>
        <w:gridCol w:w="75"/>
        <w:gridCol w:w="15"/>
        <w:gridCol w:w="225"/>
        <w:gridCol w:w="927"/>
        <w:gridCol w:w="15"/>
        <w:gridCol w:w="1725"/>
        <w:gridCol w:w="195"/>
        <w:gridCol w:w="90"/>
        <w:gridCol w:w="1353"/>
        <w:gridCol w:w="1528"/>
        <w:gridCol w:w="110"/>
        <w:gridCol w:w="1638"/>
        <w:gridCol w:w="63"/>
        <w:gridCol w:w="65"/>
        <w:gridCol w:w="15"/>
        <w:gridCol w:w="75"/>
        <w:gridCol w:w="1166"/>
        <w:gridCol w:w="1219"/>
      </w:tblGrid>
      <w:tr>
        <w:tblPrEx>
          <w:tblCellMar>
            <w:top w:w="0" w:type="dxa"/>
            <w:left w:w="0" w:type="dxa"/>
            <w:bottom w:w="0" w:type="dxa"/>
            <w:right w:w="0" w:type="dxa"/>
          </w:tblCellMar>
        </w:tblPrEx>
        <w:trPr>
          <w:gridAfter w:val="4"/>
          <w:wAfter w:w="2475" w:type="dxa"/>
          <w:trHeight w:val="450" w:hRule="atLeast"/>
        </w:trPr>
        <w:tc>
          <w:tcPr>
            <w:tcW w:w="8550" w:type="dxa"/>
            <w:gridSpan w:val="2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2019年度鹿城区财政支出项目绩效评分表</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3"/>
          <w:wAfter w:w="2460" w:type="dxa"/>
          <w:trHeight w:val="450" w:hRule="atLeast"/>
        </w:trPr>
        <w:tc>
          <w:tcPr>
            <w:tcW w:w="1320"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249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0"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40"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8"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6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lang w:val="en-US" w:eastAsia="zh-CN" w:bidi="ar"/>
              </w:rPr>
              <w:t>保存</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2"/>
          <w:wAfter w:w="2385" w:type="dxa"/>
          <w:trHeight w:val="450" w:hRule="atLeast"/>
        </w:trPr>
        <w:tc>
          <w:tcPr>
            <w:tcW w:w="132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当前状态:已提交</w:t>
            </w:r>
          </w:p>
        </w:tc>
        <w:tc>
          <w:tcPr>
            <w:tcW w:w="945" w:type="dxa"/>
            <w:gridSpan w:val="3"/>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005" w:type="dxa"/>
            <w:gridSpan w:val="9"/>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70"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53"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27"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金额单位：万元</w:t>
            </w:r>
          </w:p>
        </w:tc>
        <w:tc>
          <w:tcPr>
            <w:tcW w:w="6872" w:type="dxa"/>
            <w:gridSpan w:val="1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项目单位名称</w:t>
            </w:r>
          </w:p>
        </w:tc>
        <w:tc>
          <w:tcPr>
            <w:tcW w:w="2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温州市鹿城区综合行政执法局</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项目名称</w:t>
            </w:r>
          </w:p>
        </w:tc>
        <w:tc>
          <w:tcPr>
            <w:tcW w:w="3600"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物业管理费</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项目责任部门</w:t>
            </w:r>
          </w:p>
        </w:tc>
        <w:tc>
          <w:tcPr>
            <w:tcW w:w="2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办公室</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项目负责人</w:t>
            </w:r>
          </w:p>
        </w:tc>
        <w:tc>
          <w:tcPr>
            <w:tcW w:w="17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邱明达</w:t>
            </w:r>
          </w:p>
        </w:tc>
        <w:tc>
          <w:tcPr>
            <w:tcW w:w="61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联系电话</w:t>
            </w:r>
          </w:p>
        </w:tc>
        <w:tc>
          <w:tcPr>
            <w:tcW w:w="12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55589008</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项目基本情况</w:t>
            </w: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上年结转</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年初预算安排数</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预算调整数</w:t>
            </w:r>
          </w:p>
        </w:tc>
        <w:tc>
          <w:tcPr>
            <w:tcW w:w="17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财政支付数</w:t>
            </w:r>
          </w:p>
        </w:tc>
        <w:tc>
          <w:tcPr>
            <w:tcW w:w="186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预算结余数</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0.00</w:t>
            </w:r>
          </w:p>
        </w:tc>
        <w:tc>
          <w:tcPr>
            <w:tcW w:w="15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65.00</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0.00</w:t>
            </w:r>
          </w:p>
        </w:tc>
        <w:tc>
          <w:tcPr>
            <w:tcW w:w="174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65.00</w:t>
            </w:r>
          </w:p>
        </w:tc>
        <w:tc>
          <w:tcPr>
            <w:tcW w:w="186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0.00</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评价内容</w:t>
            </w: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分值</w:t>
            </w:r>
          </w:p>
        </w:tc>
        <w:tc>
          <w:tcPr>
            <w:tcW w:w="5118"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评价简述（结合实际填写）</w:t>
            </w:r>
          </w:p>
        </w:tc>
        <w:tc>
          <w:tcPr>
            <w:tcW w:w="11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自评得分</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项目预算及预期绩效目标编制水平</w:t>
            </w:r>
          </w:p>
        </w:tc>
        <w:tc>
          <w:tcPr>
            <w:tcW w:w="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511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本项目预算编制科学、规范、合理，预期绩效目标申报完整，产出、效果类关键性指标清晰、明确、量化，投入与项目产出、效果目标匹配。</w:t>
            </w:r>
          </w:p>
        </w:tc>
        <w:tc>
          <w:tcPr>
            <w:tcW w:w="11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jc w:val="right"/>
              <w:rPr>
                <w:rFonts w:hint="default" w:ascii="Calibri" w:hAnsi="Calibri" w:eastAsia="宋体" w:cs="Calibri"/>
                <w:i w:val="0"/>
                <w:color w:val="000000"/>
                <w:sz w:val="18"/>
                <w:szCs w:val="18"/>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11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1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预算执行率</w:t>
            </w:r>
          </w:p>
        </w:tc>
        <w:tc>
          <w:tcPr>
            <w:tcW w:w="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511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该项目实际支出65万元，预算执行率为100%。</w:t>
            </w:r>
          </w:p>
        </w:tc>
        <w:tc>
          <w:tcPr>
            <w:tcW w:w="11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11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1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项目组织管理水平</w:t>
            </w:r>
          </w:p>
        </w:tc>
        <w:tc>
          <w:tcPr>
            <w:tcW w:w="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511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本项目制定了管理制度，并严格按相关制度执行。</w:t>
            </w:r>
          </w:p>
        </w:tc>
        <w:tc>
          <w:tcPr>
            <w:tcW w:w="11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11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1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资金支出合理合规</w:t>
            </w:r>
          </w:p>
        </w:tc>
        <w:tc>
          <w:tcPr>
            <w:tcW w:w="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511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本年项目支出事项符合国家相关法律法规、财务管理制度等规定，且均在预算范围内，无与本项目预算不相符或无关的资金支出。</w:t>
            </w:r>
          </w:p>
        </w:tc>
        <w:tc>
          <w:tcPr>
            <w:tcW w:w="11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11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1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项目产出</w:t>
            </w:r>
          </w:p>
        </w:tc>
        <w:tc>
          <w:tcPr>
            <w:tcW w:w="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30</w:t>
            </w:r>
          </w:p>
        </w:tc>
        <w:tc>
          <w:tcPr>
            <w:tcW w:w="511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项目产出目标已完成</w:t>
            </w:r>
          </w:p>
        </w:tc>
        <w:tc>
          <w:tcPr>
            <w:tcW w:w="116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30</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11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16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项目效益（效果）</w:t>
            </w:r>
          </w:p>
        </w:tc>
        <w:tc>
          <w:tcPr>
            <w:tcW w:w="9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w:t>
            </w:r>
          </w:p>
        </w:tc>
        <w:tc>
          <w:tcPr>
            <w:tcW w:w="5118"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项目效益目标已达成</w:t>
            </w:r>
          </w:p>
        </w:tc>
        <w:tc>
          <w:tcPr>
            <w:tcW w:w="116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2490" w:type="dxa"/>
            <w:gridSpan w:val="6"/>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140"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3600" w:type="dxa"/>
            <w:gridSpan w:val="1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合计</w:t>
            </w:r>
          </w:p>
        </w:tc>
        <w:tc>
          <w:tcPr>
            <w:tcW w:w="249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100</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3600"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100</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4"/>
          <w:wAfter w:w="2475" w:type="dxa"/>
          <w:trHeight w:val="450" w:hRule="atLeast"/>
        </w:trPr>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评价结果</w:t>
            </w:r>
          </w:p>
        </w:tc>
        <w:tc>
          <w:tcPr>
            <w:tcW w:w="249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4740"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优秀</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249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4740"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782" w:type="dxa"/>
            <w:gridSpan w:val="10"/>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gridAfter w:val="4"/>
          <w:wAfter w:w="2475" w:type="dxa"/>
          <w:trHeight w:val="450" w:hRule="atLeast"/>
        </w:trPr>
        <w:tc>
          <w:tcPr>
            <w:tcW w:w="8550" w:type="dxa"/>
            <w:gridSpan w:val="2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gridAfter w:val="4"/>
          <w:wAfter w:w="2475" w:type="dxa"/>
          <w:trHeight w:val="450" w:hRule="atLeast"/>
        </w:trPr>
        <w:tc>
          <w:tcPr>
            <w:tcW w:w="132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单位负责人（签字）：</w:t>
            </w:r>
          </w:p>
        </w:tc>
        <w:tc>
          <w:tcPr>
            <w:tcW w:w="249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肖达统</w:t>
            </w:r>
          </w:p>
        </w:tc>
        <w:tc>
          <w:tcPr>
            <w:tcW w:w="2085"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项目负责人（签字）：</w:t>
            </w:r>
          </w:p>
        </w:tc>
        <w:tc>
          <w:tcPr>
            <w:tcW w:w="79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邱明达</w:t>
            </w:r>
          </w:p>
        </w:tc>
        <w:tc>
          <w:tcPr>
            <w:tcW w:w="618" w:type="dxa"/>
            <w:gridSpan w:val="3"/>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填表日期：</w:t>
            </w:r>
          </w:p>
        </w:tc>
        <w:tc>
          <w:tcPr>
            <w:tcW w:w="124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2020-04-22</w:t>
            </w:r>
          </w:p>
        </w:tc>
        <w:tc>
          <w:tcPr>
            <w:tcW w:w="6782" w:type="dxa"/>
            <w:gridSpan w:val="10"/>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132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490" w:type="dxa"/>
            <w:gridSpan w:val="6"/>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550" w:type="dxa"/>
            <w:gridSpan w:val="1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8"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63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1" w:type="dxa"/>
            <w:gridSpan w:val="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14"/>
          <w:wAfter w:w="9257" w:type="dxa"/>
          <w:trHeight w:val="450" w:hRule="atLeast"/>
        </w:trPr>
        <w:tc>
          <w:tcPr>
            <w:tcW w:w="8550" w:type="dxa"/>
            <w:gridSpan w:val="2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2019年度鹿城区财政支出项目绩效评分表</w:t>
            </w:r>
          </w:p>
        </w:tc>
      </w:tr>
      <w:tr>
        <w:tblPrEx>
          <w:tblCellMar>
            <w:top w:w="0" w:type="dxa"/>
            <w:left w:w="0" w:type="dxa"/>
            <w:bottom w:w="0" w:type="dxa"/>
            <w:right w:w="0" w:type="dxa"/>
          </w:tblCellMar>
        </w:tblPrEx>
        <w:trPr>
          <w:gridAfter w:val="10"/>
          <w:wAfter w:w="7232" w:type="dxa"/>
          <w:trHeight w:val="450" w:hRule="atLeast"/>
        </w:trPr>
        <w:tc>
          <w:tcPr>
            <w:tcW w:w="1425"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FF0000"/>
                <w:sz w:val="18"/>
                <w:szCs w:val="18"/>
                <w:u w:val="none"/>
              </w:rPr>
            </w:pPr>
          </w:p>
        </w:tc>
        <w:tc>
          <w:tcPr>
            <w:tcW w:w="303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30" w:type="dxa"/>
            <w:gridSpan w:val="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35" w:type="dxa"/>
            <w:gridSpan w:val="4"/>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177" w:type="dxa"/>
            <w:gridSpan w:val="7"/>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lang w:val="en-US" w:eastAsia="zh-CN" w:bidi="ar"/>
              </w:rPr>
              <w:t>保存</w:t>
            </w:r>
          </w:p>
        </w:tc>
      </w:tr>
      <w:tr>
        <w:tblPrEx>
          <w:tblCellMar>
            <w:top w:w="0" w:type="dxa"/>
            <w:left w:w="0" w:type="dxa"/>
            <w:bottom w:w="0" w:type="dxa"/>
            <w:right w:w="0" w:type="dxa"/>
          </w:tblCellMar>
        </w:tblPrEx>
        <w:trPr>
          <w:gridAfter w:val="13"/>
          <w:wAfter w:w="9242" w:type="dxa"/>
          <w:trHeight w:val="450" w:hRule="atLeast"/>
        </w:trPr>
        <w:tc>
          <w:tcPr>
            <w:tcW w:w="1425" w:type="dxa"/>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当前状态:已提交</w:t>
            </w:r>
          </w:p>
        </w:tc>
        <w:tc>
          <w:tcPr>
            <w:tcW w:w="615" w:type="dxa"/>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2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80"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75"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67"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金额单位：万元</w:t>
            </w:r>
          </w:p>
        </w:tc>
      </w:tr>
      <w:tr>
        <w:tblPrEx>
          <w:tblCellMar>
            <w:top w:w="0" w:type="dxa"/>
            <w:left w:w="0" w:type="dxa"/>
            <w:bottom w:w="0" w:type="dxa"/>
            <w:right w:w="0" w:type="dxa"/>
          </w:tblCellMar>
        </w:tblPrEx>
        <w:trPr>
          <w:gridAfter w:val="14"/>
          <w:wAfter w:w="9257" w:type="dxa"/>
          <w:trHeight w:val="450" w:hRule="atLeast"/>
        </w:trPr>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项目单位名称</w:t>
            </w:r>
          </w:p>
        </w:tc>
        <w:tc>
          <w:tcPr>
            <w:tcW w:w="303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温州市鹿城区综合行政执法局</w:t>
            </w:r>
          </w:p>
        </w:tc>
        <w:tc>
          <w:tcPr>
            <w:tcW w:w="12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项目名称</w:t>
            </w:r>
          </w:p>
        </w:tc>
        <w:tc>
          <w:tcPr>
            <w:tcW w:w="2865"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绿化建设及养护费</w:t>
            </w:r>
          </w:p>
        </w:tc>
      </w:tr>
      <w:tr>
        <w:tblPrEx>
          <w:tblCellMar>
            <w:top w:w="0" w:type="dxa"/>
            <w:left w:w="0" w:type="dxa"/>
            <w:bottom w:w="0" w:type="dxa"/>
            <w:right w:w="0" w:type="dxa"/>
          </w:tblCellMar>
        </w:tblPrEx>
        <w:trPr>
          <w:gridAfter w:val="14"/>
          <w:wAfter w:w="9257" w:type="dxa"/>
          <w:trHeight w:val="450" w:hRule="atLeast"/>
        </w:trPr>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项目责任部门</w:t>
            </w:r>
          </w:p>
        </w:tc>
        <w:tc>
          <w:tcPr>
            <w:tcW w:w="303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园林绿化科</w:t>
            </w:r>
          </w:p>
        </w:tc>
        <w:tc>
          <w:tcPr>
            <w:tcW w:w="12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项目负责人</w:t>
            </w:r>
          </w:p>
        </w:tc>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郭华勇</w:t>
            </w:r>
          </w:p>
        </w:tc>
        <w:tc>
          <w:tcPr>
            <w:tcW w:w="38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联系电话</w:t>
            </w:r>
          </w:p>
        </w:tc>
        <w:tc>
          <w:tcPr>
            <w:tcW w:w="12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55589029</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项目基本情况</w:t>
            </w:r>
          </w:p>
        </w:tc>
        <w:tc>
          <w:tcPr>
            <w:tcW w:w="174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上年结转</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年初预算安排数</w:t>
            </w:r>
          </w:p>
        </w:tc>
        <w:tc>
          <w:tcPr>
            <w:tcW w:w="12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预算调整数</w:t>
            </w:r>
          </w:p>
        </w:tc>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财政支付数</w:t>
            </w:r>
          </w:p>
        </w:tc>
        <w:tc>
          <w:tcPr>
            <w:tcW w:w="163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预算结余数</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174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2650.00</w:t>
            </w:r>
          </w:p>
        </w:tc>
        <w:tc>
          <w:tcPr>
            <w:tcW w:w="12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-4.02</w:t>
            </w:r>
          </w:p>
        </w:tc>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2645.98</w:t>
            </w:r>
          </w:p>
        </w:tc>
        <w:tc>
          <w:tcPr>
            <w:tcW w:w="163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评价内容</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分值</w:t>
            </w:r>
          </w:p>
        </w:tc>
        <w:tc>
          <w:tcPr>
            <w:tcW w:w="5268"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评价简述（结合实际填写）</w:t>
            </w:r>
          </w:p>
        </w:tc>
        <w:tc>
          <w:tcPr>
            <w:tcW w:w="12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自评得分</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项目预算及预期绩效目标编制水平</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526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本项目预算编制科学、规范、合理，预期绩效目标申报完整，产出、效果类关键性指标清晰、明确、量化，投入与项目产出、效果目标匹配。</w:t>
            </w:r>
          </w:p>
        </w:tc>
        <w:tc>
          <w:tcPr>
            <w:tcW w:w="124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26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24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预算执行率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c>
          <w:tcPr>
            <w:tcW w:w="526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该项目实际支出2645.98万元，预算执行率为100%。</w:t>
            </w:r>
          </w:p>
        </w:tc>
        <w:tc>
          <w:tcPr>
            <w:tcW w:w="124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26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24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项目组织管理水平</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526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本项目建立了项目管理制度，并严格按相关制度执行。</w:t>
            </w:r>
          </w:p>
        </w:tc>
        <w:tc>
          <w:tcPr>
            <w:tcW w:w="124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26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24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资金支出合理合规</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c>
          <w:tcPr>
            <w:tcW w:w="526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本年项目支出事项内容符合国家相关法律法规、财务管理制度等规定，且均在预算范围内，无与本项目预算不相符或无关的资金支出。</w:t>
            </w:r>
          </w:p>
        </w:tc>
        <w:tc>
          <w:tcPr>
            <w:tcW w:w="124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26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24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项目产出</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30</w:t>
            </w:r>
          </w:p>
        </w:tc>
        <w:tc>
          <w:tcPr>
            <w:tcW w:w="526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项目产出目标已完成</w:t>
            </w:r>
          </w:p>
        </w:tc>
        <w:tc>
          <w:tcPr>
            <w:tcW w:w="124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30</w:t>
            </w: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26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24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项目效益（效果）</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w:t>
            </w:r>
          </w:p>
        </w:tc>
        <w:tc>
          <w:tcPr>
            <w:tcW w:w="5268"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项目效益目标已达到</w:t>
            </w:r>
          </w:p>
        </w:tc>
        <w:tc>
          <w:tcPr>
            <w:tcW w:w="1242"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w:t>
            </w: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5268"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Calibri" w:hAnsi="Calibri" w:eastAsia="宋体" w:cs="Calibri"/>
                <w:i w:val="0"/>
                <w:color w:val="000000"/>
                <w:sz w:val="18"/>
                <w:szCs w:val="18"/>
                <w:u w:val="none"/>
              </w:rPr>
            </w:pPr>
          </w:p>
        </w:tc>
        <w:tc>
          <w:tcPr>
            <w:tcW w:w="1242"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合计</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100</w:t>
            </w:r>
          </w:p>
        </w:tc>
        <w:tc>
          <w:tcPr>
            <w:tcW w:w="5268" w:type="dxa"/>
            <w:gridSpan w:val="1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w:t>
            </w:r>
          </w:p>
        </w:tc>
        <w:tc>
          <w:tcPr>
            <w:tcW w:w="124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100</w:t>
            </w:r>
          </w:p>
        </w:tc>
      </w:tr>
      <w:tr>
        <w:tblPrEx>
          <w:tblCellMar>
            <w:top w:w="0" w:type="dxa"/>
            <w:left w:w="0" w:type="dxa"/>
            <w:bottom w:w="0" w:type="dxa"/>
            <w:right w:w="0" w:type="dxa"/>
          </w:tblCellMar>
        </w:tblPrEx>
        <w:trPr>
          <w:gridAfter w:val="14"/>
          <w:wAfter w:w="9257" w:type="dxa"/>
          <w:trHeight w:val="45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评价结果</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510" w:type="dxa"/>
            <w:gridSpan w:val="19"/>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优秀</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c>
          <w:tcPr>
            <w:tcW w:w="6510" w:type="dxa"/>
            <w:gridSpan w:val="19"/>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Calibri" w:hAnsi="Calibri" w:eastAsia="宋体" w:cs="Calibri"/>
                <w:i w:val="0"/>
                <w:color w:val="000000"/>
                <w:sz w:val="18"/>
                <w:szCs w:val="18"/>
                <w:u w:val="none"/>
              </w:rPr>
            </w:pPr>
          </w:p>
        </w:tc>
      </w:tr>
      <w:tr>
        <w:tblPrEx>
          <w:shd w:val="clear" w:color="auto" w:fill="auto"/>
          <w:tblCellMar>
            <w:top w:w="0" w:type="dxa"/>
            <w:left w:w="0" w:type="dxa"/>
            <w:bottom w:w="0" w:type="dxa"/>
            <w:right w:w="0" w:type="dxa"/>
          </w:tblCellMar>
        </w:tblPrEx>
        <w:trPr>
          <w:gridAfter w:val="14"/>
          <w:wAfter w:w="9257" w:type="dxa"/>
          <w:trHeight w:val="450" w:hRule="atLeast"/>
        </w:trPr>
        <w:tc>
          <w:tcPr>
            <w:tcW w:w="8550" w:type="dxa"/>
            <w:gridSpan w:val="2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 xml:space="preserve">      </w:t>
            </w:r>
          </w:p>
        </w:tc>
      </w:tr>
      <w:tr>
        <w:tblPrEx>
          <w:shd w:val="clear" w:color="auto" w:fill="auto"/>
          <w:tblCellMar>
            <w:top w:w="0" w:type="dxa"/>
            <w:left w:w="0" w:type="dxa"/>
            <w:bottom w:w="0" w:type="dxa"/>
            <w:right w:w="0" w:type="dxa"/>
          </w:tblCellMar>
        </w:tblPrEx>
        <w:trPr>
          <w:gridAfter w:val="14"/>
          <w:wAfter w:w="9257" w:type="dxa"/>
          <w:trHeight w:val="450" w:hRule="atLeast"/>
        </w:trPr>
        <w:tc>
          <w:tcPr>
            <w:tcW w:w="1425"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单位负责人（签字）：</w:t>
            </w:r>
          </w:p>
        </w:tc>
        <w:tc>
          <w:tcPr>
            <w:tcW w:w="174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肖达统</w:t>
            </w:r>
          </w:p>
        </w:tc>
        <w:tc>
          <w:tcPr>
            <w:tcW w:w="129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项目负责人（签字）：</w:t>
            </w:r>
          </w:p>
        </w:tc>
        <w:tc>
          <w:tcPr>
            <w:tcW w:w="246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郭华勇</w:t>
            </w:r>
          </w:p>
        </w:tc>
        <w:tc>
          <w:tcPr>
            <w:tcW w:w="388"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填表日期：</w:t>
            </w:r>
          </w:p>
        </w:tc>
        <w:tc>
          <w:tcPr>
            <w:tcW w:w="1242"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2020-04-24</w:t>
            </w:r>
          </w:p>
        </w:tc>
      </w:tr>
      <w:tr>
        <w:tblPrEx>
          <w:tblCellMar>
            <w:top w:w="0" w:type="dxa"/>
            <w:left w:w="0" w:type="dxa"/>
            <w:bottom w:w="0" w:type="dxa"/>
            <w:right w:w="0" w:type="dxa"/>
          </w:tblCellMar>
        </w:tblPrEx>
        <w:trPr>
          <w:gridAfter w:val="8"/>
          <w:wAfter w:w="4351" w:type="dxa"/>
          <w:trHeight w:val="450" w:hRule="atLeast"/>
        </w:trPr>
        <w:tc>
          <w:tcPr>
            <w:tcW w:w="1425"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80"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75"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67"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891"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gridAfter w:val="8"/>
          <w:wAfter w:w="4351" w:type="dxa"/>
          <w:trHeight w:val="450" w:hRule="atLeast"/>
        </w:trPr>
        <w:tc>
          <w:tcPr>
            <w:tcW w:w="1425"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25"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80"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75"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88"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67" w:type="dxa"/>
            <w:gridSpan w:val="3"/>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891" w:type="dxa"/>
            <w:gridSpan w:val="5"/>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widowControl/>
        <w:suppressLineNumbers w:val="0"/>
        <w:spacing w:before="0" w:beforeAutospacing="0" w:after="0" w:afterAutospacing="0" w:line="600" w:lineRule="atLeast"/>
        <w:ind w:right="0"/>
        <w:jc w:val="both"/>
        <w:rPr>
          <w:rFonts w:hint="eastAsia" w:ascii="仿宋" w:hAnsi="仿宋" w:eastAsia="仿宋" w:cs="仿宋"/>
          <w:kern w:val="0"/>
          <w:sz w:val="32"/>
          <w:szCs w:val="32"/>
        </w:rPr>
      </w:pPr>
    </w:p>
    <w:p>
      <w:pPr>
        <w:keepNext w:val="0"/>
        <w:keepLines w:val="0"/>
        <w:widowControl/>
        <w:numPr>
          <w:ilvl w:val="0"/>
          <w:numId w:val="4"/>
        </w:numPr>
        <w:suppressLineNumbers w:val="0"/>
        <w:spacing w:before="0" w:beforeAutospacing="0" w:after="0" w:afterAutospacing="0" w:line="600" w:lineRule="atLeast"/>
        <w:ind w:left="0" w:right="0" w:firstLine="640"/>
        <w:jc w:val="both"/>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财政评价项目绩效结果。</w:t>
      </w:r>
    </w:p>
    <w:p>
      <w:pPr>
        <w:keepNext w:val="0"/>
        <w:keepLines w:val="0"/>
        <w:widowControl/>
        <w:numPr>
          <w:ilvl w:val="0"/>
          <w:numId w:val="0"/>
        </w:numPr>
        <w:suppressLineNumbers w:val="0"/>
        <w:spacing w:before="0" w:beforeAutospacing="0" w:after="0" w:afterAutospacing="0" w:line="600" w:lineRule="atLeast"/>
        <w:ind w:right="0" w:rightChars="0" w:firstLine="640" w:firstLineChars="200"/>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鹿城区财政局共对我局</w:t>
      </w:r>
      <w:r>
        <w:rPr>
          <w:rFonts w:hint="eastAsia" w:ascii="仿宋" w:hAnsi="仿宋" w:eastAsia="仿宋" w:cs="仿宋"/>
          <w:kern w:val="0"/>
          <w:sz w:val="32"/>
          <w:szCs w:val="32"/>
          <w:lang w:val="en-US" w:eastAsia="zh-CN"/>
        </w:rPr>
        <w:t>市容整治经费、亮化工程建设及维护费、清洁工宿舍、劳护用品、管辖绿地养护经费、监测站运行费、公园设施、道路、亭廊、公厕等日常零星维修等7个项目进行绩效自评复核评价，</w:t>
      </w:r>
      <w:r>
        <w:rPr>
          <w:rFonts w:hint="eastAsia" w:ascii="仿宋" w:hAnsi="仿宋" w:eastAsia="仿宋" w:cs="仿宋"/>
          <w:kern w:val="0"/>
          <w:sz w:val="32"/>
          <w:szCs w:val="32"/>
          <w:lang w:eastAsia="zh-CN"/>
        </w:rPr>
        <w:t>评价项目绩效评价结果分别是一般、良好、良好、良好、良好、优秀、优秀。附</w:t>
      </w:r>
      <w:r>
        <w:rPr>
          <w:rFonts w:hint="eastAsia" w:ascii="仿宋" w:hAnsi="仿宋" w:eastAsia="仿宋" w:cs="仿宋"/>
          <w:kern w:val="0"/>
          <w:sz w:val="32"/>
          <w:szCs w:val="32"/>
          <w:lang w:val="en-US" w:eastAsia="zh-CN"/>
        </w:rPr>
        <w:t>公园设施、道路、亭廊、公厕等日常零星维修等绩效自评复核评价。</w:t>
      </w:r>
    </w:p>
    <w:tbl>
      <w:tblPr>
        <w:tblStyle w:val="4"/>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31"/>
        <w:gridCol w:w="426"/>
        <w:gridCol w:w="278"/>
        <w:gridCol w:w="374"/>
        <w:gridCol w:w="104"/>
        <w:gridCol w:w="110"/>
        <w:gridCol w:w="919"/>
        <w:gridCol w:w="484"/>
        <w:gridCol w:w="1132"/>
        <w:gridCol w:w="380"/>
        <w:gridCol w:w="58"/>
        <w:gridCol w:w="1054"/>
        <w:gridCol w:w="209"/>
        <w:gridCol w:w="191"/>
        <w:gridCol w:w="677"/>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7"/>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color w:val="auto"/>
                <w:sz w:val="28"/>
                <w:szCs w:val="24"/>
              </w:rPr>
            </w:pPr>
            <w:r>
              <w:rPr>
                <w:rFonts w:hint="eastAsia" w:ascii="宋体" w:hAnsi="宋体"/>
                <w:b/>
                <w:color w:val="auto"/>
                <w:sz w:val="28"/>
              </w:rPr>
              <w:t>一、项目基本概况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5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highlight w:val="none"/>
              </w:rPr>
            </w:pPr>
            <w:r>
              <w:rPr>
                <w:rFonts w:hint="eastAsia" w:ascii="宋体" w:hAnsi="宋体"/>
                <w:color w:val="auto"/>
                <w:sz w:val="24"/>
                <w:szCs w:val="24"/>
                <w:highlight w:val="none"/>
              </w:rPr>
              <w:t>单位名称</w:t>
            </w:r>
          </w:p>
        </w:tc>
        <w:tc>
          <w:tcPr>
            <w:tcW w:w="3123"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温州市鹿城区公园管理处</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单位负责人</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应周清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rPr>
            </w:pPr>
            <w:r>
              <w:rPr>
                <w:rFonts w:hint="eastAsia" w:ascii="宋体" w:hAnsi="宋体"/>
                <w:color w:val="auto"/>
                <w:sz w:val="24"/>
                <w:szCs w:val="24"/>
              </w:rPr>
              <w:t>项目名称</w:t>
            </w:r>
          </w:p>
        </w:tc>
        <w:tc>
          <w:tcPr>
            <w:tcW w:w="3123" w:type="dxa"/>
            <w:gridSpan w:val="6"/>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公园设施、道路、亭廊、公厕等日常零星维修</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rPr>
            </w:pPr>
            <w:r>
              <w:rPr>
                <w:rFonts w:hint="eastAsia" w:ascii="宋体" w:hAnsi="宋体"/>
                <w:color w:val="auto"/>
                <w:sz w:val="24"/>
                <w:szCs w:val="24"/>
              </w:rPr>
              <w:t>项目负责人</w:t>
            </w:r>
          </w:p>
        </w:tc>
        <w:tc>
          <w:tcPr>
            <w:tcW w:w="1704"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周涓涓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5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rPr>
            </w:pPr>
            <w:r>
              <w:rPr>
                <w:rFonts w:hint="eastAsia" w:ascii="宋体" w:hAnsi="宋体"/>
                <w:color w:val="auto"/>
                <w:sz w:val="24"/>
                <w:szCs w:val="24"/>
              </w:rPr>
              <w:t>预算金额</w:t>
            </w:r>
          </w:p>
        </w:tc>
        <w:tc>
          <w:tcPr>
            <w:tcW w:w="652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olor w:val="auto"/>
                <w:sz w:val="24"/>
                <w:szCs w:val="24"/>
                <w:lang w:val="en-US" w:eastAsia="zh-CN"/>
              </w:rPr>
            </w:pPr>
            <w:r>
              <w:rPr>
                <w:rFonts w:hint="eastAsia" w:ascii="仿宋" w:hAnsi="仿宋" w:eastAsia="仿宋" w:cs="仿宋"/>
                <w:color w:val="auto"/>
                <w:sz w:val="24"/>
                <w:szCs w:val="24"/>
                <w:lang w:val="en-US" w:eastAsia="zh-CN"/>
              </w:rPr>
              <w:t>290万元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25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szCs w:val="24"/>
              </w:rPr>
            </w:pPr>
            <w:r>
              <w:rPr>
                <w:rFonts w:hint="eastAsia" w:ascii="宋体" w:hAnsi="宋体"/>
                <w:color w:val="auto"/>
                <w:sz w:val="24"/>
              </w:rPr>
              <w:t>项目立项依据</w:t>
            </w:r>
          </w:p>
        </w:tc>
        <w:tc>
          <w:tcPr>
            <w:tcW w:w="6528"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default" w:ascii="仿宋" w:hAnsi="仿宋" w:eastAsia="仿宋"/>
                <w:b/>
                <w:color w:val="auto"/>
                <w:sz w:val="24"/>
                <w:szCs w:val="18"/>
                <w:lang w:val="en-US" w:eastAsia="zh-CN"/>
              </w:rPr>
            </w:pPr>
            <w:r>
              <w:rPr>
                <w:rFonts w:hint="eastAsia" w:ascii="仿宋" w:hAnsi="仿宋" w:eastAsia="仿宋" w:cs="仿宋"/>
                <w:color w:val="auto"/>
                <w:sz w:val="24"/>
                <w:szCs w:val="24"/>
                <w:highlight w:val="none"/>
                <w:lang w:val="en-US" w:eastAsia="zh-CN"/>
              </w:rPr>
              <w:t>温州市</w:t>
            </w:r>
            <w:r>
              <w:rPr>
                <w:rFonts w:hint="eastAsia" w:ascii="仿宋" w:hAnsi="仿宋" w:eastAsia="仿宋"/>
                <w:b w:val="0"/>
                <w:bCs/>
                <w:color w:val="auto"/>
                <w:sz w:val="24"/>
                <w:szCs w:val="18"/>
                <w:highlight w:val="none"/>
                <w:shd w:val="clear" w:color="auto" w:fill="auto"/>
                <w:lang w:val="en-US" w:eastAsia="zh-CN"/>
              </w:rPr>
              <w:t>鹿城区公园管理处主要负责鹿城区绣山公园、马鞍池公园、中山公园、华盖山公园、海坦山公园、墨池公园、九山公园、翠微山公园的管理和绿化养护，为完善公园公共基础设施，为市民提供舒适的公园环境，故设立“公园设施、道路、亭廊、公厕等日常零星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25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 w:val="24"/>
              </w:rPr>
            </w:pPr>
            <w:r>
              <w:rPr>
                <w:rFonts w:hint="eastAsia" w:ascii="宋体" w:hAnsi="宋体"/>
                <w:color w:val="auto"/>
                <w:sz w:val="24"/>
              </w:rPr>
              <w:t>项目内容简介</w:t>
            </w:r>
          </w:p>
        </w:tc>
        <w:tc>
          <w:tcPr>
            <w:tcW w:w="6528"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default" w:ascii="仿宋" w:hAnsi="仿宋" w:eastAsia="仿宋"/>
                <w:b w:val="0"/>
                <w:bCs/>
                <w:color w:val="auto"/>
                <w:sz w:val="24"/>
                <w:szCs w:val="18"/>
                <w:shd w:val="clear" w:color="auto" w:fill="auto"/>
                <w:lang w:val="en-US" w:eastAsia="zh-CN"/>
              </w:rPr>
            </w:pPr>
            <w:r>
              <w:rPr>
                <w:rFonts w:hint="eastAsia" w:ascii="仿宋" w:hAnsi="仿宋" w:eastAsia="仿宋"/>
                <w:b w:val="0"/>
                <w:bCs/>
                <w:color w:val="auto"/>
                <w:sz w:val="24"/>
                <w:szCs w:val="18"/>
                <w:highlight w:val="none"/>
                <w:shd w:val="clear" w:color="auto" w:fill="auto"/>
                <w:lang w:val="en-US" w:eastAsia="zh-CN"/>
              </w:rPr>
              <w:t>通过项目实施，完善各公园配套设施、推进公园基础设施建设，为市民提供舒适的公园环境。项目经费主要用于公园文化提升、基础设施提升、便民服务设施提升、公园厕改造提升、及其他零星维修费等。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9073" w:type="dxa"/>
            <w:gridSpan w:val="1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8"/>
                <w:szCs w:val="24"/>
              </w:rPr>
            </w:pPr>
            <w:r>
              <w:rPr>
                <w:rFonts w:hint="eastAsia" w:ascii="宋体" w:hAnsi="宋体"/>
                <w:b/>
                <w:color w:val="auto"/>
                <w:sz w:val="28"/>
              </w:rPr>
              <w:t>二、项目绩效情况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8" w:hRule="atLeast"/>
        </w:trPr>
        <w:tc>
          <w:tcPr>
            <w:tcW w:w="1841" w:type="dxa"/>
            <w:gridSpan w:val="2"/>
            <w:tcBorders>
              <w:left w:val="single" w:color="auto" w:sz="4" w:space="0"/>
              <w:right w:val="single" w:color="auto" w:sz="4" w:space="0"/>
            </w:tcBorders>
            <w:noWrap w:val="0"/>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预期绩效目标及实现情况</w:t>
            </w:r>
          </w:p>
        </w:tc>
        <w:tc>
          <w:tcPr>
            <w:tcW w:w="7232"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default" w:ascii="仿宋" w:hAnsi="仿宋" w:eastAsia="仿宋"/>
                <w:b w:val="0"/>
                <w:bCs/>
                <w:color w:val="auto"/>
                <w:sz w:val="24"/>
                <w:szCs w:val="18"/>
                <w:highlight w:val="none"/>
                <w:shd w:val="clear" w:color="auto" w:fill="auto"/>
                <w:lang w:val="en-US" w:eastAsia="zh-CN"/>
              </w:rPr>
            </w:pPr>
            <w:r>
              <w:rPr>
                <w:rFonts w:hint="eastAsia" w:ascii="仿宋" w:hAnsi="仿宋" w:eastAsia="仿宋"/>
                <w:b w:val="0"/>
                <w:bCs/>
                <w:color w:val="auto"/>
                <w:sz w:val="24"/>
                <w:szCs w:val="18"/>
                <w:highlight w:val="none"/>
                <w:shd w:val="clear" w:color="auto" w:fill="auto"/>
                <w:lang w:val="en-US" w:eastAsia="zh-CN"/>
              </w:rPr>
              <w:t>预期绩效目标：完善公园公共基础设施，维修工程质量合格，保持设施基本完好。</w:t>
            </w:r>
          </w:p>
          <w:p>
            <w:pPr>
              <w:spacing w:line="360" w:lineRule="exact"/>
              <w:ind w:firstLine="480" w:firstLineChars="200"/>
              <w:rPr>
                <w:rFonts w:hint="default" w:ascii="仿宋" w:hAnsi="仿宋" w:eastAsia="仿宋"/>
                <w:b w:val="0"/>
                <w:bCs/>
                <w:color w:val="auto"/>
                <w:sz w:val="24"/>
                <w:szCs w:val="18"/>
                <w:highlight w:val="none"/>
                <w:shd w:val="clear" w:color="auto" w:fill="auto"/>
                <w:lang w:val="en-US" w:eastAsia="zh-CN"/>
              </w:rPr>
            </w:pPr>
            <w:r>
              <w:rPr>
                <w:rFonts w:hint="eastAsia" w:ascii="仿宋" w:hAnsi="仿宋" w:eastAsia="仿宋"/>
                <w:b w:val="0"/>
                <w:bCs/>
                <w:color w:val="auto"/>
                <w:sz w:val="24"/>
                <w:szCs w:val="18"/>
                <w:highlight w:val="none"/>
                <w:shd w:val="clear" w:color="auto" w:fill="auto"/>
                <w:lang w:val="en-US" w:eastAsia="zh-CN"/>
              </w:rPr>
              <w:t>实现情况：对各公园内的设施、道路、亭廊、公厕等进行维修维护，完善了公园公共基础设施，为市民游客创造了优美舒适的公园环境。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9073" w:type="dxa"/>
            <w:gridSpan w:val="17"/>
            <w:tcBorders>
              <w:left w:val="single" w:color="auto" w:sz="4" w:space="0"/>
              <w:right w:val="single" w:color="auto" w:sz="4" w:space="0"/>
            </w:tcBorders>
            <w:noWrap w:val="0"/>
            <w:vAlign w:val="center"/>
          </w:tcPr>
          <w:p>
            <w:pPr>
              <w:spacing w:line="360" w:lineRule="exact"/>
              <w:ind w:firstLine="562" w:firstLineChars="200"/>
              <w:jc w:val="center"/>
              <w:rPr>
                <w:rFonts w:ascii="宋体" w:hAnsi="宋体"/>
                <w:color w:val="auto"/>
                <w:sz w:val="24"/>
                <w:szCs w:val="24"/>
              </w:rPr>
            </w:pPr>
            <w:r>
              <w:rPr>
                <w:rFonts w:hint="eastAsia" w:ascii="宋体" w:hAnsi="宋体"/>
                <w:b/>
                <w:color w:val="auto"/>
                <w:sz w:val="28"/>
              </w:rPr>
              <w:t>三、项目支出明细情况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3133" w:type="dxa"/>
            <w:gridSpan w:val="7"/>
            <w:tcBorders>
              <w:left w:val="single" w:color="auto" w:sz="4" w:space="0"/>
              <w:right w:val="single" w:color="auto" w:sz="4" w:space="0"/>
            </w:tcBorders>
            <w:noWrap w:val="0"/>
            <w:vAlign w:val="center"/>
          </w:tcPr>
          <w:p>
            <w:pPr>
              <w:spacing w:line="400" w:lineRule="exact"/>
              <w:jc w:val="center"/>
              <w:rPr>
                <w:rFonts w:ascii="宋体" w:hAnsi="宋体"/>
                <w:color w:val="auto"/>
                <w:sz w:val="28"/>
                <w:szCs w:val="28"/>
              </w:rPr>
            </w:pPr>
            <w:r>
              <w:rPr>
                <w:rFonts w:hint="eastAsia" w:ascii="宋体" w:hAnsi="宋体"/>
                <w:color w:val="auto"/>
                <w:sz w:val="28"/>
                <w:szCs w:val="28"/>
              </w:rPr>
              <w:t>支出内容</w:t>
            </w:r>
          </w:p>
        </w:tc>
        <w:tc>
          <w:tcPr>
            <w:tcW w:w="2915" w:type="dxa"/>
            <w:gridSpan w:val="4"/>
            <w:tcBorders>
              <w:left w:val="single" w:color="auto" w:sz="4" w:space="0"/>
              <w:right w:val="single" w:color="auto" w:sz="4" w:space="0"/>
            </w:tcBorders>
            <w:noWrap w:val="0"/>
            <w:vAlign w:val="center"/>
          </w:tcPr>
          <w:p>
            <w:pPr>
              <w:jc w:val="center"/>
              <w:rPr>
                <w:rFonts w:hint="eastAsia" w:ascii="宋体" w:hAnsi="宋体" w:eastAsia="宋体"/>
                <w:color w:val="auto"/>
                <w:sz w:val="28"/>
                <w:szCs w:val="28"/>
                <w:lang w:eastAsia="zh-CN"/>
              </w:rPr>
            </w:pPr>
            <w:r>
              <w:rPr>
                <w:rFonts w:hint="eastAsia" w:ascii="宋体" w:hAnsi="宋体"/>
                <w:color w:val="auto"/>
                <w:sz w:val="28"/>
                <w:szCs w:val="28"/>
              </w:rPr>
              <w:t>预算安排数</w:t>
            </w:r>
            <w:r>
              <w:rPr>
                <w:rFonts w:hint="eastAsia" w:ascii="宋体" w:hAnsi="宋体"/>
                <w:color w:val="auto"/>
                <w:sz w:val="28"/>
                <w:szCs w:val="28"/>
                <w:lang w:eastAsia="zh-CN"/>
              </w:rPr>
              <w:t>（</w:t>
            </w:r>
            <w:r>
              <w:rPr>
                <w:rFonts w:hint="eastAsia" w:ascii="宋体" w:hAnsi="宋体"/>
                <w:color w:val="auto"/>
                <w:sz w:val="28"/>
                <w:szCs w:val="28"/>
                <w:lang w:val="en-US" w:eastAsia="zh-CN"/>
              </w:rPr>
              <w:t>万元</w:t>
            </w:r>
            <w:r>
              <w:rPr>
                <w:rFonts w:hint="eastAsia" w:ascii="宋体" w:hAnsi="宋体"/>
                <w:color w:val="auto"/>
                <w:sz w:val="28"/>
                <w:szCs w:val="28"/>
                <w:lang w:eastAsia="zh-CN"/>
              </w:rPr>
              <w:t>）</w:t>
            </w:r>
          </w:p>
        </w:tc>
        <w:tc>
          <w:tcPr>
            <w:tcW w:w="3025" w:type="dxa"/>
            <w:gridSpan w:val="6"/>
            <w:tcBorders>
              <w:left w:val="single" w:color="auto" w:sz="4" w:space="0"/>
              <w:right w:val="single" w:color="auto" w:sz="4" w:space="0"/>
            </w:tcBorders>
            <w:noWrap w:val="0"/>
            <w:vAlign w:val="center"/>
          </w:tcPr>
          <w:p>
            <w:pPr>
              <w:jc w:val="center"/>
              <w:rPr>
                <w:rFonts w:hint="eastAsia" w:ascii="宋体" w:hAnsi="宋体" w:eastAsia="宋体"/>
                <w:color w:val="auto"/>
                <w:sz w:val="28"/>
                <w:szCs w:val="28"/>
                <w:lang w:eastAsia="zh-CN"/>
              </w:rPr>
            </w:pPr>
            <w:r>
              <w:rPr>
                <w:rFonts w:hint="eastAsia" w:ascii="宋体" w:hAnsi="宋体"/>
                <w:color w:val="auto"/>
                <w:sz w:val="28"/>
                <w:szCs w:val="28"/>
              </w:rPr>
              <w:t>实际支出数</w:t>
            </w:r>
            <w:r>
              <w:rPr>
                <w:rFonts w:hint="eastAsia" w:ascii="宋体" w:hAnsi="宋体"/>
                <w:color w:val="auto"/>
                <w:sz w:val="28"/>
                <w:szCs w:val="28"/>
                <w:lang w:eastAsia="zh-CN"/>
              </w:rPr>
              <w:t>（</w:t>
            </w:r>
            <w:r>
              <w:rPr>
                <w:rFonts w:hint="eastAsia" w:ascii="宋体" w:hAnsi="宋体"/>
                <w:color w:val="auto"/>
                <w:sz w:val="28"/>
                <w:szCs w:val="28"/>
                <w:lang w:val="en-US" w:eastAsia="zh-CN"/>
              </w:rPr>
              <w:t>万元</w:t>
            </w:r>
            <w:r>
              <w:rPr>
                <w:rFonts w:hint="eastAsia" w:ascii="宋体" w:hAnsi="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3133" w:type="dxa"/>
            <w:gridSpan w:val="7"/>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highlight w:val="none"/>
                <w:u w:val="none"/>
                <w:lang w:val="en-US" w:eastAsia="zh-CN" w:bidi="ar-SA"/>
              </w:rPr>
            </w:pPr>
            <w:r>
              <w:rPr>
                <w:rFonts w:hint="eastAsia" w:ascii="仿宋" w:hAnsi="仿宋" w:eastAsia="仿宋"/>
                <w:b w:val="0"/>
                <w:bCs/>
                <w:color w:val="auto"/>
                <w:sz w:val="24"/>
                <w:szCs w:val="18"/>
                <w:highlight w:val="none"/>
                <w:shd w:val="clear" w:color="auto" w:fill="auto"/>
                <w:lang w:val="en-US" w:eastAsia="zh-CN"/>
              </w:rPr>
              <w:t>公园设施、道路、亭廊、公厕等日常零星维修</w:t>
            </w:r>
          </w:p>
        </w:tc>
        <w:tc>
          <w:tcPr>
            <w:tcW w:w="2915" w:type="dxa"/>
            <w:gridSpan w:val="4"/>
            <w:tcBorders>
              <w:left w:val="single" w:color="auto" w:sz="4" w:space="0"/>
              <w:right w:val="single" w:color="auto" w:sz="4" w:space="0"/>
            </w:tcBorders>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290</w:t>
            </w:r>
          </w:p>
        </w:tc>
        <w:tc>
          <w:tcPr>
            <w:tcW w:w="3025" w:type="dxa"/>
            <w:gridSpan w:val="6"/>
            <w:tcBorders>
              <w:left w:val="single" w:color="auto" w:sz="4" w:space="0"/>
              <w:right w:val="single" w:color="auto" w:sz="4" w:space="0"/>
            </w:tcBorders>
            <w:noWrap w:val="0"/>
            <w:vAlign w:val="center"/>
          </w:tcPr>
          <w:p>
            <w:pPr>
              <w:spacing w:line="40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3133" w:type="dxa"/>
            <w:gridSpan w:val="7"/>
            <w:tcBorders>
              <w:left w:val="single" w:color="auto" w:sz="4" w:space="0"/>
              <w:right w:val="single" w:color="auto" w:sz="4" w:space="0"/>
            </w:tcBorders>
            <w:noWrap w:val="0"/>
            <w:vAlign w:val="center"/>
          </w:tcPr>
          <w:p>
            <w:pPr>
              <w:spacing w:line="400" w:lineRule="exact"/>
              <w:jc w:val="center"/>
              <w:rPr>
                <w:rFonts w:hint="eastAsia" w:ascii="宋体" w:hAnsi="宋体"/>
                <w:color w:val="auto"/>
                <w:sz w:val="28"/>
                <w:szCs w:val="28"/>
                <w:highlight w:val="none"/>
                <w:shd w:val="clear" w:color="auto" w:fill="auto"/>
              </w:rPr>
            </w:pPr>
            <w:r>
              <w:rPr>
                <w:rFonts w:hint="eastAsia" w:ascii="宋体" w:hAnsi="宋体"/>
                <w:color w:val="auto"/>
                <w:sz w:val="24"/>
                <w:highlight w:val="none"/>
                <w:shd w:val="clear" w:color="auto" w:fill="auto"/>
              </w:rPr>
              <w:t>支出合计</w:t>
            </w:r>
          </w:p>
        </w:tc>
        <w:tc>
          <w:tcPr>
            <w:tcW w:w="2915" w:type="dxa"/>
            <w:gridSpan w:val="4"/>
            <w:tcBorders>
              <w:left w:val="single" w:color="auto" w:sz="4" w:space="0"/>
              <w:right w:val="single" w:color="auto" w:sz="4" w:space="0"/>
            </w:tcBorders>
            <w:noWrap w:val="0"/>
            <w:vAlign w:val="center"/>
          </w:tcPr>
          <w:p>
            <w:pPr>
              <w:spacing w:line="400" w:lineRule="exact"/>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290</w:t>
            </w:r>
          </w:p>
        </w:tc>
        <w:tc>
          <w:tcPr>
            <w:tcW w:w="3025" w:type="dxa"/>
            <w:gridSpan w:val="6"/>
            <w:tcBorders>
              <w:left w:val="single" w:color="auto" w:sz="4" w:space="0"/>
              <w:right w:val="single" w:color="auto" w:sz="4" w:space="0"/>
            </w:tcBorders>
            <w:noWrap w:val="0"/>
            <w:vAlign w:val="center"/>
          </w:tcPr>
          <w:p>
            <w:pPr>
              <w:spacing w:line="400" w:lineRule="exact"/>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9073" w:type="dxa"/>
            <w:gridSpan w:val="17"/>
            <w:tcBorders>
              <w:left w:val="single" w:color="auto" w:sz="4" w:space="0"/>
              <w:right w:val="single" w:color="auto" w:sz="4" w:space="0"/>
            </w:tcBorders>
            <w:noWrap w:val="0"/>
            <w:vAlign w:val="center"/>
          </w:tcPr>
          <w:p>
            <w:pPr>
              <w:jc w:val="center"/>
              <w:rPr>
                <w:rFonts w:hint="eastAsia" w:ascii="宋体" w:hAnsi="宋体"/>
                <w:color w:val="auto"/>
                <w:sz w:val="28"/>
                <w:szCs w:val="28"/>
              </w:rPr>
            </w:pPr>
            <w:r>
              <w:rPr>
                <w:rFonts w:hint="eastAsia" w:ascii="宋体" w:hAnsi="宋体"/>
                <w:b/>
                <w:color w:val="auto"/>
                <w:sz w:val="28"/>
              </w:rPr>
              <w:t>四、绩效自评复核结果等次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b/>
                <w:color w:val="auto"/>
                <w:sz w:val="24"/>
                <w:szCs w:val="24"/>
              </w:rPr>
            </w:pPr>
            <w:r>
              <w:rPr>
                <w:rFonts w:hint="eastAsia" w:ascii="宋体" w:hAnsi="宋体" w:cs="宋体"/>
                <w:b/>
                <w:color w:val="auto"/>
                <w:sz w:val="24"/>
              </w:rPr>
              <w:t>评价内容</w:t>
            </w:r>
          </w:p>
        </w:tc>
        <w:tc>
          <w:tcPr>
            <w:tcW w:w="757" w:type="dxa"/>
            <w:gridSpan w:val="2"/>
            <w:tcBorders>
              <w:left w:val="single" w:color="auto" w:sz="4" w:space="0"/>
              <w:right w:val="single" w:color="auto" w:sz="4" w:space="0"/>
            </w:tcBorders>
            <w:noWrap w:val="0"/>
            <w:vAlign w:val="center"/>
          </w:tcPr>
          <w:p>
            <w:pPr>
              <w:spacing w:line="320" w:lineRule="exact"/>
              <w:jc w:val="center"/>
              <w:rPr>
                <w:rFonts w:ascii="宋体" w:hAnsi="宋体"/>
                <w:b/>
                <w:color w:val="auto"/>
                <w:sz w:val="24"/>
                <w:szCs w:val="24"/>
              </w:rPr>
            </w:pPr>
            <w:r>
              <w:rPr>
                <w:rFonts w:hint="eastAsia" w:ascii="宋体" w:hAnsi="宋体" w:cs="宋体"/>
                <w:b/>
                <w:color w:val="auto"/>
                <w:sz w:val="24"/>
              </w:rPr>
              <w:t>分值</w:t>
            </w:r>
          </w:p>
        </w:tc>
        <w:tc>
          <w:tcPr>
            <w:tcW w:w="866" w:type="dxa"/>
            <w:gridSpan w:val="4"/>
            <w:tcBorders>
              <w:left w:val="single" w:color="auto" w:sz="4" w:space="0"/>
              <w:right w:val="single" w:color="auto" w:sz="4" w:space="0"/>
            </w:tcBorders>
            <w:noWrap w:val="0"/>
            <w:vAlign w:val="center"/>
          </w:tcPr>
          <w:p>
            <w:pPr>
              <w:spacing w:line="320" w:lineRule="exact"/>
              <w:jc w:val="center"/>
              <w:rPr>
                <w:rFonts w:ascii="宋体" w:hAnsi="宋体"/>
                <w:b/>
                <w:color w:val="auto"/>
                <w:sz w:val="24"/>
                <w:szCs w:val="24"/>
              </w:rPr>
            </w:pPr>
            <w:r>
              <w:rPr>
                <w:rFonts w:hint="eastAsia" w:ascii="宋体" w:hAnsi="宋体" w:cs="宋体"/>
                <w:b/>
                <w:color w:val="auto"/>
                <w:sz w:val="24"/>
              </w:rPr>
              <w:t>自评得分</w:t>
            </w:r>
          </w:p>
        </w:tc>
        <w:tc>
          <w:tcPr>
            <w:tcW w:w="5104" w:type="dxa"/>
            <w:gridSpan w:val="9"/>
            <w:tcBorders>
              <w:left w:val="single" w:color="auto" w:sz="4" w:space="0"/>
              <w:right w:val="single" w:color="auto" w:sz="4" w:space="0"/>
            </w:tcBorders>
            <w:noWrap w:val="0"/>
            <w:vAlign w:val="center"/>
          </w:tcPr>
          <w:p>
            <w:pPr>
              <w:jc w:val="center"/>
              <w:rPr>
                <w:rFonts w:hint="eastAsia" w:ascii="宋体" w:hAnsi="宋体"/>
                <w:color w:val="auto"/>
                <w:sz w:val="28"/>
                <w:szCs w:val="28"/>
              </w:rPr>
            </w:pPr>
            <w:r>
              <w:rPr>
                <w:rFonts w:hint="eastAsia" w:ascii="宋体" w:hAnsi="宋体" w:cs="宋体"/>
                <w:b/>
                <w:color w:val="auto"/>
                <w:sz w:val="24"/>
              </w:rPr>
              <w:t>复核评价简述</w:t>
            </w:r>
          </w:p>
        </w:tc>
        <w:tc>
          <w:tcPr>
            <w:tcW w:w="836" w:type="dxa"/>
            <w:tcBorders>
              <w:left w:val="single" w:color="auto" w:sz="4" w:space="0"/>
              <w:right w:val="single" w:color="auto" w:sz="4" w:space="0"/>
            </w:tcBorders>
            <w:noWrap w:val="0"/>
            <w:vAlign w:val="center"/>
          </w:tcPr>
          <w:p>
            <w:pPr>
              <w:jc w:val="center"/>
              <w:rPr>
                <w:rFonts w:hint="eastAsia" w:ascii="宋体" w:hAnsi="宋体"/>
                <w:color w:val="auto"/>
                <w:sz w:val="28"/>
                <w:szCs w:val="28"/>
              </w:rPr>
            </w:pPr>
            <w:r>
              <w:rPr>
                <w:rFonts w:hint="eastAsia" w:ascii="宋体" w:hAnsi="宋体" w:cs="宋体"/>
                <w:b/>
                <w:color w:val="auto"/>
                <w:sz w:val="24"/>
              </w:rPr>
              <w:t>复评得分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5"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cs="宋体"/>
                <w:color w:val="auto"/>
                <w:sz w:val="24"/>
              </w:rPr>
              <w:t>项目预算及预期绩效目标编制水平</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rPr>
              <w:t>10</w:t>
            </w:r>
          </w:p>
        </w:tc>
        <w:tc>
          <w:tcPr>
            <w:tcW w:w="866" w:type="dxa"/>
            <w:gridSpan w:val="4"/>
            <w:tcBorders>
              <w:left w:val="single" w:color="auto" w:sz="4" w:space="0"/>
              <w:right w:val="single" w:color="auto" w:sz="4" w:space="0"/>
            </w:tcBorders>
            <w:noWrap w:val="0"/>
            <w:vAlign w:val="center"/>
          </w:tcPr>
          <w:p>
            <w:pPr>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5104" w:type="dxa"/>
            <w:gridSpan w:val="9"/>
            <w:tcBorders>
              <w:left w:val="single" w:color="auto" w:sz="4" w:space="0"/>
              <w:right w:val="single" w:color="auto" w:sz="4" w:space="0"/>
            </w:tcBorders>
            <w:noWrap w:val="0"/>
            <w:vAlign w:val="center"/>
          </w:tcPr>
          <w:p>
            <w:pPr>
              <w:spacing w:line="32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项目预期绩效目标填报内容基本完整，形成了投入、产出和效益类指标体系，但在项目预算及预期绩效目标编制上存在以下问题：</w:t>
            </w:r>
          </w:p>
          <w:p>
            <w:pPr>
              <w:spacing w:line="320" w:lineRule="exact"/>
              <w:ind w:firstLine="480" w:firstLineChars="200"/>
              <w:jc w:val="left"/>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highlight w:val="none"/>
                <w:lang w:val="en-US" w:eastAsia="zh-CN"/>
              </w:rPr>
              <w:t>项目内容资金测算不够详细，仅明确了项目资金整体规模，未对具体支出内容所需资金进行详细测算。扣2分。</w:t>
            </w:r>
          </w:p>
          <w:p>
            <w:pPr>
              <w:spacing w:line="320" w:lineRule="exact"/>
              <w:ind w:firstLine="480" w:firstLineChars="20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2.未结合投入目标，明确、量化相应的预期产出，如主要改造提升工程项目的数量、改造提升工程项目的预期进度等等。扣2分。</w:t>
            </w: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lang w:val="en-US" w:eastAsia="zh-CN"/>
              </w:rPr>
            </w:pPr>
            <w:r>
              <w:rPr>
                <w:rFonts w:hint="eastAsia" w:ascii="仿宋" w:hAnsi="仿宋" w:eastAsia="仿宋" w:cs="仿宋"/>
                <w:b/>
                <w:bCs w:val="0"/>
                <w:color w:val="auto"/>
                <w:sz w:val="24"/>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cs="宋体"/>
                <w:color w:val="auto"/>
                <w:sz w:val="24"/>
              </w:rPr>
              <w:t>预算执行率</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rPr>
              <w:t>10</w:t>
            </w:r>
          </w:p>
        </w:tc>
        <w:tc>
          <w:tcPr>
            <w:tcW w:w="866" w:type="dxa"/>
            <w:gridSpan w:val="4"/>
            <w:tcBorders>
              <w:left w:val="single" w:color="auto" w:sz="4" w:space="0"/>
              <w:right w:val="single" w:color="auto" w:sz="4" w:space="0"/>
            </w:tcBorders>
            <w:noWrap w:val="0"/>
            <w:vAlign w:val="center"/>
          </w:tcPr>
          <w:p>
            <w:pPr>
              <w:spacing w:line="32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w:t>
            </w:r>
          </w:p>
        </w:tc>
        <w:tc>
          <w:tcPr>
            <w:tcW w:w="5104" w:type="dxa"/>
            <w:gridSpan w:val="9"/>
            <w:tcBorders>
              <w:left w:val="single" w:color="auto" w:sz="4" w:space="0"/>
              <w:right w:val="single" w:color="auto" w:sz="4" w:space="0"/>
            </w:tcBorders>
            <w:noWrap w:val="0"/>
            <w:vAlign w:val="center"/>
          </w:tcPr>
          <w:p>
            <w:pPr>
              <w:spacing w:line="320" w:lineRule="exact"/>
              <w:ind w:firstLine="480" w:firstLineChars="200"/>
              <w:jc w:val="left"/>
              <w:rPr>
                <w:rFonts w:hint="default" w:ascii="仿宋_GB2312" w:hAnsi="SimSun-ExtB" w:eastAsia="仿宋_GB2312"/>
                <w:color w:val="auto"/>
                <w:sz w:val="24"/>
                <w:szCs w:val="24"/>
                <w:lang w:val="en-US" w:eastAsia="zh-CN"/>
              </w:rPr>
            </w:pPr>
            <w:r>
              <w:rPr>
                <w:rFonts w:hint="eastAsia" w:ascii="仿宋_GB2312" w:hAnsi="SimSun-ExtB" w:eastAsia="仿宋_GB2312"/>
                <w:color w:val="auto"/>
                <w:sz w:val="24"/>
                <w:szCs w:val="24"/>
                <w:lang w:val="en-US" w:eastAsia="zh-CN"/>
              </w:rPr>
              <w:t>项目年初预算290万元，实际支出289.99万元，预算执行率为100%。</w:t>
            </w: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lang w:val="en-US" w:eastAsia="zh-CN"/>
              </w:rPr>
            </w:pPr>
            <w:r>
              <w:rPr>
                <w:rFonts w:hint="eastAsia" w:ascii="仿宋" w:hAnsi="仿宋" w:eastAsia="仿宋" w:cs="仿宋"/>
                <w:b/>
                <w:bCs w:val="0"/>
                <w:color w:val="auto"/>
                <w:sz w:val="24"/>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7"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cs="宋体"/>
                <w:color w:val="auto"/>
                <w:sz w:val="24"/>
              </w:rPr>
              <w:t>项目组织管理水平</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rPr>
              <w:t>15</w:t>
            </w:r>
          </w:p>
        </w:tc>
        <w:tc>
          <w:tcPr>
            <w:tcW w:w="866" w:type="dxa"/>
            <w:gridSpan w:val="4"/>
            <w:tcBorders>
              <w:left w:val="single" w:color="auto" w:sz="4" w:space="0"/>
              <w:right w:val="single" w:color="auto" w:sz="4" w:space="0"/>
            </w:tcBorders>
            <w:noWrap w:val="0"/>
            <w:vAlign w:val="center"/>
          </w:tcPr>
          <w:p>
            <w:pPr>
              <w:spacing w:line="32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w:t>
            </w:r>
          </w:p>
        </w:tc>
        <w:tc>
          <w:tcPr>
            <w:tcW w:w="5104" w:type="dxa"/>
            <w:gridSpan w:val="9"/>
            <w:tcBorders>
              <w:left w:val="single" w:color="auto" w:sz="4" w:space="0"/>
              <w:right w:val="single" w:color="auto" w:sz="4" w:space="0"/>
            </w:tcBorders>
            <w:noWrap w:val="0"/>
            <w:vAlign w:val="center"/>
          </w:tcPr>
          <w:p>
            <w:pPr>
              <w:numPr>
                <w:ilvl w:val="0"/>
                <w:numId w:val="0"/>
              </w:numPr>
              <w:spacing w:line="320" w:lineRule="exact"/>
              <w:ind w:firstLine="480" w:firstLineChars="200"/>
              <w:jc w:val="left"/>
              <w:rPr>
                <w:rFonts w:hint="default" w:ascii="仿宋" w:hAnsi="仿宋" w:eastAsia="仿宋" w:cs="仿宋"/>
                <w:color w:val="auto"/>
                <w:sz w:val="24"/>
                <w:szCs w:val="24"/>
                <w:shd w:val="clear" w:color="auto" w:fill="auto"/>
                <w:lang w:val="en-US" w:eastAsia="zh-CN"/>
              </w:rPr>
            </w:pPr>
            <w:r>
              <w:rPr>
                <w:rFonts w:hint="default" w:ascii="仿宋" w:hAnsi="仿宋" w:eastAsia="仿宋" w:cs="仿宋"/>
                <w:color w:val="auto"/>
                <w:sz w:val="24"/>
                <w:szCs w:val="24"/>
                <w:lang w:val="en-US" w:eastAsia="zh-CN"/>
              </w:rPr>
              <w:t>本项目由</w:t>
            </w:r>
            <w:r>
              <w:rPr>
                <w:rFonts w:hint="eastAsia" w:ascii="仿宋" w:hAnsi="仿宋" w:eastAsia="仿宋" w:cs="仿宋"/>
                <w:color w:val="auto"/>
                <w:sz w:val="24"/>
                <w:szCs w:val="24"/>
                <w:lang w:eastAsia="zh-CN"/>
              </w:rPr>
              <w:t>温州市鹿城区公园管理处</w:t>
            </w:r>
            <w:r>
              <w:rPr>
                <w:rFonts w:hint="eastAsia" w:ascii="仿宋" w:hAnsi="仿宋" w:eastAsia="仿宋" w:cs="仿宋"/>
                <w:color w:val="auto"/>
                <w:sz w:val="24"/>
                <w:szCs w:val="24"/>
                <w:lang w:val="en-US" w:eastAsia="zh-CN"/>
              </w:rPr>
              <w:t>技术科实施</w:t>
            </w:r>
            <w:r>
              <w:rPr>
                <w:rFonts w:hint="default" w:ascii="仿宋" w:hAnsi="仿宋" w:eastAsia="仿宋" w:cs="仿宋"/>
                <w:color w:val="auto"/>
                <w:sz w:val="24"/>
                <w:szCs w:val="24"/>
                <w:lang w:val="en-US" w:eastAsia="zh-CN"/>
              </w:rPr>
              <w:t>，明确了项目负责人，分工较为明确</w:t>
            </w:r>
            <w:r>
              <w:rPr>
                <w:rFonts w:hint="eastAsia" w:ascii="仿宋" w:hAnsi="仿宋" w:eastAsia="仿宋" w:cs="仿宋"/>
                <w:color w:val="auto"/>
                <w:sz w:val="24"/>
                <w:szCs w:val="24"/>
                <w:lang w:val="en-US" w:eastAsia="zh-CN"/>
              </w:rPr>
              <w:t>。项目单位制定了《温州市公园管理处工程项目管理制度》、《温州市公园管理处小额工程建设管理规定》等管理制度，</w:t>
            </w:r>
            <w:r>
              <w:rPr>
                <w:rFonts w:hint="eastAsia" w:ascii="仿宋" w:hAnsi="仿宋" w:eastAsia="仿宋"/>
                <w:b w:val="0"/>
                <w:bCs/>
                <w:color w:val="auto"/>
                <w:sz w:val="24"/>
                <w:szCs w:val="18"/>
                <w:shd w:val="clear" w:color="auto" w:fill="auto"/>
                <w:lang w:val="en-US" w:eastAsia="zh-CN"/>
              </w:rPr>
              <w:t>组织管理基本到位。</w:t>
            </w:r>
            <w:r>
              <w:rPr>
                <w:rFonts w:hint="default" w:ascii="仿宋" w:hAnsi="仿宋" w:eastAsia="仿宋" w:cs="仿宋"/>
                <w:color w:val="auto"/>
                <w:sz w:val="24"/>
                <w:szCs w:val="24"/>
                <w:shd w:val="clear" w:color="auto" w:fill="auto"/>
                <w:lang w:val="en-US" w:eastAsia="zh-CN"/>
              </w:rPr>
              <w:t>但存在</w:t>
            </w:r>
            <w:r>
              <w:rPr>
                <w:rFonts w:hint="eastAsia" w:ascii="仿宋" w:hAnsi="仿宋" w:eastAsia="仿宋" w:cs="仿宋"/>
                <w:color w:val="auto"/>
                <w:sz w:val="24"/>
                <w:szCs w:val="24"/>
                <w:shd w:val="clear" w:color="auto" w:fill="auto"/>
                <w:lang w:val="en-US" w:eastAsia="zh-CN"/>
              </w:rPr>
              <w:t>部分工程项目进度滞后，未能在合同规定时间内完成的问题，如墨池公园管理房屋顶改造维修、海坦公园便民亭改造提升、翠微山公园沉降修复等工程。</w:t>
            </w: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lang w:val="en-US" w:eastAsia="zh-CN"/>
              </w:rPr>
            </w:pPr>
            <w:r>
              <w:rPr>
                <w:rFonts w:hint="eastAsia" w:ascii="仿宋" w:hAnsi="仿宋" w:eastAsia="仿宋" w:cs="仿宋"/>
                <w:b/>
                <w:bCs w:val="0"/>
                <w:color w:val="auto"/>
                <w:sz w:val="24"/>
                <w:szCs w:val="2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highlight w:val="none"/>
              </w:rPr>
            </w:pPr>
            <w:r>
              <w:rPr>
                <w:rFonts w:hint="eastAsia" w:ascii="宋体" w:hAnsi="宋体" w:cs="宋体"/>
                <w:color w:val="auto"/>
                <w:sz w:val="24"/>
                <w:highlight w:val="none"/>
              </w:rPr>
              <w:t>资金支出</w:t>
            </w:r>
          </w:p>
          <w:p>
            <w:pPr>
              <w:spacing w:line="320" w:lineRule="exact"/>
              <w:jc w:val="center"/>
              <w:rPr>
                <w:rFonts w:ascii="宋体" w:hAnsi="宋体"/>
                <w:color w:val="auto"/>
                <w:sz w:val="24"/>
                <w:szCs w:val="24"/>
                <w:highlight w:val="none"/>
              </w:rPr>
            </w:pPr>
            <w:r>
              <w:rPr>
                <w:rFonts w:hint="eastAsia" w:ascii="宋体" w:hAnsi="宋体" w:cs="宋体"/>
                <w:color w:val="auto"/>
                <w:sz w:val="24"/>
                <w:highlight w:val="none"/>
              </w:rPr>
              <w:t>合理合规</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15</w:t>
            </w:r>
          </w:p>
        </w:tc>
        <w:tc>
          <w:tcPr>
            <w:tcW w:w="866" w:type="dxa"/>
            <w:gridSpan w:val="4"/>
            <w:tcBorders>
              <w:left w:val="single" w:color="auto" w:sz="4" w:space="0"/>
              <w:right w:val="single" w:color="auto" w:sz="4" w:space="0"/>
            </w:tcBorders>
            <w:noWrap w:val="0"/>
            <w:vAlign w:val="center"/>
          </w:tcPr>
          <w:p>
            <w:pPr>
              <w:spacing w:line="320" w:lineRule="exact"/>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5104" w:type="dxa"/>
            <w:gridSpan w:val="9"/>
            <w:tcBorders>
              <w:left w:val="single" w:color="auto" w:sz="4" w:space="0"/>
              <w:right w:val="single" w:color="auto" w:sz="4" w:space="0"/>
            </w:tcBorders>
            <w:noWrap w:val="0"/>
            <w:vAlign w:val="center"/>
          </w:tcPr>
          <w:p>
            <w:pPr>
              <w:spacing w:line="320" w:lineRule="exact"/>
              <w:ind w:firstLine="480" w:firstLineChars="200"/>
              <w:jc w:val="left"/>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经复核，</w:t>
            </w:r>
            <w:r>
              <w:rPr>
                <w:rFonts w:hint="eastAsia" w:ascii="仿宋" w:hAnsi="仿宋" w:eastAsia="仿宋" w:cs="仿宋"/>
                <w:color w:val="auto"/>
                <w:sz w:val="24"/>
                <w:szCs w:val="24"/>
                <w:highlight w:val="none"/>
                <w:lang w:val="en-US" w:eastAsia="zh-CN"/>
              </w:rPr>
              <w:t>未</w:t>
            </w:r>
            <w:r>
              <w:rPr>
                <w:rFonts w:hint="default" w:ascii="仿宋" w:hAnsi="仿宋" w:eastAsia="仿宋" w:cs="仿宋"/>
                <w:color w:val="auto"/>
                <w:sz w:val="24"/>
                <w:szCs w:val="24"/>
                <w:highlight w:val="none"/>
                <w:lang w:val="en-US" w:eastAsia="zh-CN"/>
              </w:rPr>
              <w:t>发现不合理、不合规经费支出</w:t>
            </w:r>
            <w:r>
              <w:rPr>
                <w:rFonts w:hint="eastAsia" w:ascii="仿宋" w:hAnsi="仿宋" w:eastAsia="仿宋" w:cs="仿宋"/>
                <w:color w:val="auto"/>
                <w:sz w:val="24"/>
                <w:szCs w:val="24"/>
                <w:highlight w:val="none"/>
                <w:lang w:val="en-US" w:eastAsia="zh-CN"/>
              </w:rPr>
              <w:t>。</w:t>
            </w: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highlight w:val="none"/>
                <w:lang w:val="en-US" w:eastAsia="zh-CN"/>
              </w:rPr>
            </w:pPr>
            <w:r>
              <w:rPr>
                <w:rFonts w:hint="eastAsia" w:ascii="仿宋" w:hAnsi="仿宋" w:eastAsia="仿宋" w:cs="仿宋"/>
                <w:b/>
                <w:bCs w:val="0"/>
                <w:color w:val="auto"/>
                <w:sz w:val="24"/>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cs="宋体"/>
                <w:color w:val="auto"/>
                <w:sz w:val="24"/>
              </w:rPr>
              <w:t>项目产出</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rPr>
              <w:t>30</w:t>
            </w:r>
          </w:p>
        </w:tc>
        <w:tc>
          <w:tcPr>
            <w:tcW w:w="866" w:type="dxa"/>
            <w:gridSpan w:val="4"/>
            <w:tcBorders>
              <w:left w:val="single" w:color="auto" w:sz="4" w:space="0"/>
              <w:right w:val="single" w:color="auto" w:sz="4" w:space="0"/>
            </w:tcBorders>
            <w:noWrap w:val="0"/>
            <w:vAlign w:val="center"/>
          </w:tcPr>
          <w:p>
            <w:pPr>
              <w:spacing w:line="32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28</w:t>
            </w:r>
          </w:p>
        </w:tc>
        <w:tc>
          <w:tcPr>
            <w:tcW w:w="5104" w:type="dxa"/>
            <w:gridSpan w:val="9"/>
            <w:tcBorders>
              <w:left w:val="single" w:color="auto" w:sz="4" w:space="0"/>
              <w:right w:val="single" w:color="auto" w:sz="4" w:space="0"/>
            </w:tcBorders>
            <w:noWrap w:val="0"/>
            <w:vAlign w:val="center"/>
          </w:tcPr>
          <w:p>
            <w:pPr>
              <w:spacing w:line="3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经项目单位统计结合实际支出，</w:t>
            </w:r>
            <w:r>
              <w:rPr>
                <w:rFonts w:hint="eastAsia" w:ascii="仿宋" w:hAnsi="仿宋" w:eastAsia="仿宋" w:cs="仿宋"/>
                <w:color w:val="000000"/>
                <w:sz w:val="24"/>
                <w:szCs w:val="24"/>
              </w:rPr>
              <w:t>本项目2019年完成情况如下：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1.完成樱花园及梅竹双清围墙改造工程；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2.完成马鞍池春晖广场木质广场改造工程；</w:t>
            </w:r>
          </w:p>
          <w:p>
            <w:pPr>
              <w:spacing w:line="320" w:lineRule="exact"/>
              <w:ind w:firstLine="480" w:firstLineChars="2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3.完成墨池公园办公室屋顶改造工程；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4.完成华盖山资福通院东边及气象台南边铺装工程；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5.完成翠微山公园沉降修复工程；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6.完成九山游步道改造工程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7.完成海坛山原便民服务亭改造提升工程；</w:t>
            </w:r>
          </w:p>
          <w:p>
            <w:pPr>
              <w:spacing w:line="32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8.完成海坛山原茶室西侧公测改造工程；</w:t>
            </w:r>
          </w:p>
          <w:p>
            <w:pPr>
              <w:spacing w:line="320" w:lineRule="exact"/>
              <w:ind w:firstLine="480" w:firstLineChars="2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9.完成其他零星维修约190处。</w:t>
            </w:r>
          </w:p>
          <w:p>
            <w:pPr>
              <w:spacing w:line="320" w:lineRule="exact"/>
              <w:ind w:firstLine="480" w:firstLineChars="200"/>
              <w:jc w:val="left"/>
              <w:rPr>
                <w:rFonts w:hint="default" w:ascii="仿宋_GB2312" w:hAnsi="SimSun-ExtB" w:eastAsia="仿宋_GB2312"/>
                <w:color w:val="auto"/>
                <w:sz w:val="24"/>
                <w:szCs w:val="24"/>
                <w:highlight w:val="none"/>
                <w:lang w:val="en-US" w:eastAsia="zh-CN"/>
              </w:rPr>
            </w:pPr>
            <w:r>
              <w:rPr>
                <w:rFonts w:hint="eastAsia" w:ascii="仿宋_GB2312" w:hAnsi="SimSun-ExtB" w:eastAsia="仿宋_GB2312"/>
                <w:color w:val="auto"/>
                <w:sz w:val="24"/>
                <w:szCs w:val="24"/>
                <w:highlight w:val="none"/>
                <w:lang w:val="en-US" w:eastAsia="zh-CN"/>
              </w:rPr>
              <w:t>由于项目</w:t>
            </w:r>
            <w:r>
              <w:rPr>
                <w:rFonts w:hint="eastAsia" w:ascii="仿宋" w:hAnsi="仿宋" w:eastAsia="仿宋" w:cs="仿宋"/>
                <w:color w:val="auto"/>
                <w:sz w:val="24"/>
                <w:szCs w:val="24"/>
                <w:highlight w:val="none"/>
                <w:lang w:val="en-US" w:eastAsia="zh-CN"/>
              </w:rPr>
              <w:t>预期产出指标未明确、量化，结合</w:t>
            </w:r>
            <w:r>
              <w:rPr>
                <w:rFonts w:hint="eastAsia" w:ascii="仿宋_GB2312" w:hAnsi="SimSun-ExtB" w:eastAsia="仿宋_GB2312"/>
                <w:color w:val="auto"/>
                <w:sz w:val="24"/>
                <w:szCs w:val="24"/>
                <w:highlight w:val="none"/>
                <w:lang w:val="en-US" w:eastAsia="zh-CN"/>
              </w:rPr>
              <w:t>项目实际实施情况，项目产出按照基本完成进行评分。</w:t>
            </w: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lang w:val="en-US" w:eastAsia="zh-CN"/>
              </w:rPr>
            </w:pPr>
            <w:r>
              <w:rPr>
                <w:rFonts w:hint="eastAsia" w:ascii="仿宋" w:hAnsi="仿宋" w:eastAsia="仿宋" w:cs="仿宋"/>
                <w:b/>
                <w:bCs w:val="0"/>
                <w:color w:val="auto"/>
                <w:sz w:val="24"/>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trPr>
        <w:tc>
          <w:tcPr>
            <w:tcW w:w="1510" w:type="dxa"/>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cs="宋体"/>
                <w:color w:val="auto"/>
                <w:sz w:val="24"/>
              </w:rPr>
              <w:t>项目效益（效果）</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rPr>
              <w:t>20</w:t>
            </w:r>
          </w:p>
        </w:tc>
        <w:tc>
          <w:tcPr>
            <w:tcW w:w="866" w:type="dxa"/>
            <w:gridSpan w:val="4"/>
            <w:tcBorders>
              <w:left w:val="single" w:color="auto" w:sz="4" w:space="0"/>
              <w:right w:val="single" w:color="auto" w:sz="4" w:space="0"/>
            </w:tcBorders>
            <w:noWrap w:val="0"/>
            <w:vAlign w:val="center"/>
          </w:tcPr>
          <w:p>
            <w:pPr>
              <w:spacing w:line="32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w:t>
            </w:r>
          </w:p>
        </w:tc>
        <w:tc>
          <w:tcPr>
            <w:tcW w:w="5104" w:type="dxa"/>
            <w:gridSpan w:val="9"/>
            <w:tcBorders>
              <w:left w:val="single" w:color="auto" w:sz="4" w:space="0"/>
              <w:right w:val="single" w:color="auto" w:sz="4" w:space="0"/>
            </w:tcBorders>
            <w:noWrap w:val="0"/>
            <w:vAlign w:val="center"/>
          </w:tcPr>
          <w:p>
            <w:pPr>
              <w:spacing w:line="360" w:lineRule="exact"/>
              <w:ind w:firstLine="480" w:firstLineChars="200"/>
              <w:rPr>
                <w:rFonts w:hint="default" w:ascii="仿宋" w:hAnsi="仿宋" w:eastAsia="仿宋"/>
                <w:b w:val="0"/>
                <w:bCs/>
                <w:color w:val="auto"/>
                <w:sz w:val="24"/>
                <w:szCs w:val="18"/>
                <w:shd w:val="clear" w:color="auto" w:fill="auto"/>
                <w:lang w:val="en-US" w:eastAsia="zh-CN"/>
              </w:rPr>
            </w:pPr>
            <w:r>
              <w:rPr>
                <w:rFonts w:hint="eastAsia" w:ascii="仿宋" w:hAnsi="仿宋" w:eastAsia="仿宋"/>
                <w:b w:val="0"/>
                <w:bCs/>
                <w:color w:val="auto"/>
                <w:sz w:val="24"/>
                <w:szCs w:val="18"/>
                <w:shd w:val="clear" w:color="auto" w:fill="auto"/>
                <w:lang w:val="en-US" w:eastAsia="zh-CN"/>
              </w:rPr>
              <w:t>通过项目实施，及时</w:t>
            </w:r>
            <w:r>
              <w:rPr>
                <w:rFonts w:hint="eastAsia" w:ascii="仿宋" w:hAnsi="仿宋" w:eastAsia="仿宋"/>
                <w:b w:val="0"/>
                <w:bCs/>
                <w:color w:val="auto"/>
                <w:sz w:val="24"/>
                <w:szCs w:val="18"/>
                <w:highlight w:val="none"/>
                <w:shd w:val="clear" w:color="auto" w:fill="auto"/>
                <w:lang w:val="en-US" w:eastAsia="zh-CN"/>
              </w:rPr>
              <w:t>完善了各公园配套设施，一定程度上为市民游客创造优美舒适的公园环境起到积极作用。</w:t>
            </w:r>
          </w:p>
          <w:p>
            <w:pPr>
              <w:spacing w:line="360" w:lineRule="exact"/>
              <w:ind w:firstLine="480" w:firstLineChars="200"/>
              <w:rPr>
                <w:rFonts w:hint="eastAsia" w:ascii="仿宋_GB2312" w:hAnsi="SimSun-ExtB" w:eastAsia="仿宋_GB2312"/>
                <w:color w:val="auto"/>
                <w:sz w:val="24"/>
                <w:szCs w:val="24"/>
              </w:rPr>
            </w:pPr>
            <w:r>
              <w:rPr>
                <w:rFonts w:hint="eastAsia" w:ascii="仿宋" w:hAnsi="仿宋" w:eastAsia="仿宋"/>
                <w:b w:val="0"/>
                <w:bCs/>
                <w:color w:val="auto"/>
                <w:sz w:val="24"/>
                <w:szCs w:val="18"/>
                <w:highlight w:val="none"/>
                <w:shd w:val="clear" w:color="auto" w:fill="auto"/>
                <w:lang w:val="en-US" w:eastAsia="zh-CN"/>
              </w:rPr>
              <w:t>但由于部分工程项目</w:t>
            </w:r>
            <w:r>
              <w:rPr>
                <w:rFonts w:hint="eastAsia" w:ascii="仿宋" w:hAnsi="仿宋" w:eastAsia="仿宋" w:cs="仿宋"/>
                <w:color w:val="auto"/>
                <w:sz w:val="24"/>
                <w:szCs w:val="24"/>
                <w:shd w:val="clear" w:color="auto" w:fill="auto"/>
                <w:lang w:val="en-US" w:eastAsia="zh-CN"/>
              </w:rPr>
              <w:t>进度滞后，影响了项目效益发挥，且项目预期绩效目标中的“提高游客满意度”指标未能取得相关书面佐证材料，难以考核衡量，故项目效益按照基本达到进行评分。</w:t>
            </w: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lang w:val="en-US" w:eastAsia="zh-CN"/>
              </w:rPr>
            </w:pPr>
            <w:r>
              <w:rPr>
                <w:rFonts w:hint="eastAsia" w:ascii="仿宋" w:hAnsi="仿宋" w:eastAsia="仿宋" w:cs="仿宋"/>
                <w:b/>
                <w:bCs w:val="0"/>
                <w:color w:val="auto"/>
                <w:sz w:val="24"/>
                <w:szCs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1510" w:type="dxa"/>
            <w:tcBorders>
              <w:left w:val="single" w:color="auto" w:sz="4" w:space="0"/>
              <w:right w:val="single" w:color="auto" w:sz="4" w:space="0"/>
            </w:tcBorders>
            <w:noWrap w:val="0"/>
            <w:vAlign w:val="center"/>
          </w:tcPr>
          <w:p>
            <w:pPr>
              <w:spacing w:line="320" w:lineRule="exact"/>
              <w:jc w:val="center"/>
              <w:rPr>
                <w:rFonts w:hint="eastAsia" w:ascii="宋体" w:hAnsi="宋体" w:cs="宋体"/>
                <w:color w:val="auto"/>
                <w:sz w:val="24"/>
              </w:rPr>
            </w:pPr>
            <w:r>
              <w:rPr>
                <w:rFonts w:hint="eastAsia" w:ascii="宋体" w:hAnsi="宋体" w:cs="宋体"/>
                <w:color w:val="auto"/>
                <w:sz w:val="24"/>
              </w:rPr>
              <w:t>合计</w:t>
            </w:r>
          </w:p>
        </w:tc>
        <w:tc>
          <w:tcPr>
            <w:tcW w:w="757" w:type="dxa"/>
            <w:gridSpan w:val="2"/>
            <w:tcBorders>
              <w:left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rPr>
            </w:pPr>
            <w:r>
              <w:rPr>
                <w:rFonts w:hint="eastAsia" w:ascii="仿宋" w:hAnsi="仿宋" w:eastAsia="仿宋" w:cs="仿宋"/>
                <w:color w:val="auto"/>
                <w:sz w:val="24"/>
              </w:rPr>
              <w:t>100</w:t>
            </w:r>
          </w:p>
        </w:tc>
        <w:tc>
          <w:tcPr>
            <w:tcW w:w="866" w:type="dxa"/>
            <w:gridSpan w:val="4"/>
            <w:tcBorders>
              <w:left w:val="single" w:color="auto" w:sz="4" w:space="0"/>
              <w:right w:val="single" w:color="auto" w:sz="4" w:space="0"/>
            </w:tcBorders>
            <w:noWrap w:val="0"/>
            <w:vAlign w:val="center"/>
          </w:tcPr>
          <w:p>
            <w:pPr>
              <w:spacing w:line="320" w:lineRule="exact"/>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98</w:t>
            </w:r>
          </w:p>
        </w:tc>
        <w:tc>
          <w:tcPr>
            <w:tcW w:w="5104" w:type="dxa"/>
            <w:gridSpan w:val="9"/>
            <w:tcBorders>
              <w:left w:val="single" w:color="auto" w:sz="4" w:space="0"/>
              <w:right w:val="single" w:color="auto" w:sz="4" w:space="0"/>
            </w:tcBorders>
            <w:noWrap w:val="0"/>
            <w:vAlign w:val="center"/>
          </w:tcPr>
          <w:p>
            <w:pPr>
              <w:spacing w:line="320" w:lineRule="exact"/>
              <w:jc w:val="left"/>
              <w:rPr>
                <w:rFonts w:hint="eastAsia" w:ascii="宋体" w:hAnsi="宋体"/>
                <w:color w:val="auto"/>
                <w:sz w:val="24"/>
              </w:rPr>
            </w:pPr>
          </w:p>
        </w:tc>
        <w:tc>
          <w:tcPr>
            <w:tcW w:w="836" w:type="dxa"/>
            <w:tcBorders>
              <w:left w:val="single" w:color="auto" w:sz="4" w:space="0"/>
              <w:right w:val="single" w:color="auto" w:sz="4" w:space="0"/>
            </w:tcBorders>
            <w:noWrap w:val="0"/>
            <w:vAlign w:val="center"/>
          </w:tcPr>
          <w:p>
            <w:pPr>
              <w:jc w:val="center"/>
              <w:rPr>
                <w:rFonts w:hint="default" w:ascii="仿宋" w:hAnsi="仿宋" w:eastAsia="仿宋" w:cs="仿宋"/>
                <w:b/>
                <w:bCs w:val="0"/>
                <w:color w:val="auto"/>
                <w:sz w:val="24"/>
                <w:szCs w:val="20"/>
                <w:lang w:val="en-US" w:eastAsia="zh-CN"/>
              </w:rPr>
            </w:pPr>
            <w:r>
              <w:rPr>
                <w:rFonts w:hint="default" w:ascii="仿宋" w:hAnsi="仿宋" w:eastAsia="仿宋" w:cs="仿宋"/>
                <w:b/>
                <w:bCs w:val="0"/>
                <w:color w:val="auto"/>
                <w:sz w:val="24"/>
                <w:szCs w:val="20"/>
                <w:lang w:val="en-US" w:eastAsia="zh-CN"/>
              </w:rPr>
              <w:fldChar w:fldCharType="begin"/>
            </w:r>
            <w:r>
              <w:rPr>
                <w:rFonts w:hint="default" w:ascii="仿宋" w:hAnsi="仿宋" w:eastAsia="仿宋" w:cs="仿宋"/>
                <w:b/>
                <w:bCs w:val="0"/>
                <w:color w:val="auto"/>
                <w:sz w:val="24"/>
                <w:szCs w:val="20"/>
                <w:lang w:val="en-US" w:eastAsia="zh-CN"/>
              </w:rPr>
              <w:instrText xml:space="preserve"> = sum(E15:E20) \* MERGEFORMAT </w:instrText>
            </w:r>
            <w:r>
              <w:rPr>
                <w:rFonts w:hint="default" w:ascii="仿宋" w:hAnsi="仿宋" w:eastAsia="仿宋" w:cs="仿宋"/>
                <w:b/>
                <w:bCs w:val="0"/>
                <w:color w:val="auto"/>
                <w:sz w:val="24"/>
                <w:szCs w:val="20"/>
                <w:lang w:val="en-US" w:eastAsia="zh-CN"/>
              </w:rPr>
              <w:fldChar w:fldCharType="separate"/>
            </w:r>
            <w:r>
              <w:rPr>
                <w:rFonts w:hint="default" w:ascii="仿宋" w:hAnsi="仿宋" w:eastAsia="仿宋" w:cs="仿宋"/>
                <w:b/>
                <w:bCs w:val="0"/>
                <w:color w:val="auto"/>
                <w:sz w:val="24"/>
                <w:szCs w:val="20"/>
                <w:lang w:val="en-US" w:eastAsia="zh-CN"/>
              </w:rPr>
              <w:t>90</w:t>
            </w:r>
            <w:r>
              <w:rPr>
                <w:rFonts w:hint="default" w:ascii="仿宋" w:hAnsi="仿宋" w:eastAsia="仿宋" w:cs="仿宋"/>
                <w:b/>
                <w:bCs w:val="0"/>
                <w:color w:val="auto"/>
                <w:sz w:val="24"/>
                <w:szCs w:val="20"/>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510" w:type="dxa"/>
            <w:vMerge w:val="restart"/>
            <w:tcBorders>
              <w:left w:val="single" w:color="auto" w:sz="4" w:space="0"/>
              <w:right w:val="single" w:color="auto" w:sz="4" w:space="0"/>
            </w:tcBorders>
            <w:noWrap w:val="0"/>
            <w:vAlign w:val="center"/>
          </w:tcPr>
          <w:p>
            <w:pPr>
              <w:spacing w:line="320" w:lineRule="exact"/>
              <w:jc w:val="center"/>
              <w:rPr>
                <w:rFonts w:hint="eastAsia" w:ascii="宋体" w:hAnsi="宋体" w:cs="宋体"/>
                <w:color w:val="auto"/>
                <w:sz w:val="24"/>
              </w:rPr>
            </w:pPr>
            <w:r>
              <w:rPr>
                <w:rFonts w:hint="eastAsia" w:ascii="宋体" w:hAnsi="宋体" w:cs="宋体"/>
                <w:b/>
                <w:color w:val="auto"/>
                <w:sz w:val="28"/>
                <w:szCs w:val="28"/>
              </w:rPr>
              <w:t>复评结果</w:t>
            </w:r>
          </w:p>
        </w:tc>
        <w:tc>
          <w:tcPr>
            <w:tcW w:w="1623" w:type="dxa"/>
            <w:gridSpan w:val="6"/>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b/>
                <w:color w:val="auto"/>
                <w:sz w:val="28"/>
                <w:szCs w:val="28"/>
              </w:rPr>
              <w:t>得分</w:t>
            </w:r>
          </w:p>
        </w:tc>
        <w:tc>
          <w:tcPr>
            <w:tcW w:w="5104" w:type="dxa"/>
            <w:gridSpan w:val="9"/>
            <w:vMerge w:val="restart"/>
            <w:tcBorders>
              <w:left w:val="single" w:color="auto" w:sz="4" w:space="0"/>
              <w:right w:val="single" w:color="auto" w:sz="4" w:space="0"/>
            </w:tcBorders>
            <w:noWrap w:val="0"/>
            <w:vAlign w:val="center"/>
          </w:tcPr>
          <w:p>
            <w:pPr>
              <w:spacing w:line="320" w:lineRule="exact"/>
              <w:jc w:val="left"/>
              <w:rPr>
                <w:rFonts w:hint="eastAsia" w:ascii="仿宋_GB2312" w:hAnsi="宋体" w:eastAsia="仿宋_GB2312"/>
                <w:color w:val="auto"/>
                <w:sz w:val="24"/>
              </w:rPr>
            </w:pPr>
            <w:r>
              <w:rPr>
                <w:rFonts w:hint="eastAsia" w:ascii="宋体" w:hAnsi="宋体" w:cs="宋体"/>
                <w:color w:val="auto"/>
                <w:sz w:val="24"/>
              </w:rPr>
              <w:t>优秀  90分≤得分≤100分；良好  80分≤得分＜90分；一般  60分≤得分＜80分；较差  得分＜60分。</w:t>
            </w:r>
          </w:p>
        </w:tc>
        <w:tc>
          <w:tcPr>
            <w:tcW w:w="836" w:type="dxa"/>
            <w:tcBorders>
              <w:left w:val="single" w:color="auto" w:sz="4" w:space="0"/>
              <w:right w:val="single" w:color="auto" w:sz="4" w:space="0"/>
            </w:tcBorders>
            <w:noWrap w:val="0"/>
            <w:vAlign w:val="center"/>
          </w:tcPr>
          <w:p>
            <w:pPr>
              <w:jc w:val="center"/>
              <w:rPr>
                <w:rFonts w:hint="default" w:ascii="仿宋_GB2312" w:hAnsi="宋体" w:eastAsia="仿宋_GB2312" w:cs="宋体"/>
                <w:b/>
                <w:color w:val="auto"/>
                <w:sz w:val="24"/>
                <w:lang w:val="en-US" w:eastAsia="zh-CN"/>
              </w:rPr>
            </w:pPr>
            <w:r>
              <w:rPr>
                <w:rFonts w:hint="eastAsia" w:ascii="仿宋_GB2312" w:hAnsi="宋体" w:eastAsia="仿宋_GB2312" w:cs="宋体"/>
                <w:b/>
                <w:color w:val="auto"/>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510" w:type="dxa"/>
            <w:vMerge w:val="continue"/>
            <w:tcBorders>
              <w:left w:val="single" w:color="auto" w:sz="4" w:space="0"/>
              <w:right w:val="single" w:color="auto" w:sz="4" w:space="0"/>
            </w:tcBorders>
            <w:noWrap w:val="0"/>
            <w:vAlign w:val="center"/>
          </w:tcPr>
          <w:p>
            <w:pPr>
              <w:spacing w:line="320" w:lineRule="exact"/>
              <w:jc w:val="center"/>
              <w:rPr>
                <w:rFonts w:hint="eastAsia" w:ascii="宋体" w:hAnsi="宋体" w:cs="宋体"/>
                <w:color w:val="auto"/>
                <w:sz w:val="24"/>
              </w:rPr>
            </w:pPr>
          </w:p>
        </w:tc>
        <w:tc>
          <w:tcPr>
            <w:tcW w:w="1623" w:type="dxa"/>
            <w:gridSpan w:val="6"/>
            <w:tcBorders>
              <w:left w:val="single" w:color="auto" w:sz="4" w:space="0"/>
              <w:right w:val="single" w:color="auto" w:sz="4" w:space="0"/>
            </w:tcBorders>
            <w:noWrap w:val="0"/>
            <w:vAlign w:val="center"/>
          </w:tcPr>
          <w:p>
            <w:pPr>
              <w:spacing w:line="320" w:lineRule="exact"/>
              <w:jc w:val="center"/>
              <w:rPr>
                <w:rFonts w:ascii="宋体" w:hAnsi="宋体"/>
                <w:color w:val="auto"/>
                <w:sz w:val="24"/>
                <w:szCs w:val="24"/>
              </w:rPr>
            </w:pPr>
            <w:r>
              <w:rPr>
                <w:rFonts w:hint="eastAsia" w:ascii="宋体" w:hAnsi="宋体"/>
                <w:b/>
                <w:color w:val="auto"/>
                <w:sz w:val="28"/>
                <w:szCs w:val="28"/>
              </w:rPr>
              <w:t>等次</w:t>
            </w:r>
          </w:p>
        </w:tc>
        <w:tc>
          <w:tcPr>
            <w:tcW w:w="5104" w:type="dxa"/>
            <w:gridSpan w:val="9"/>
            <w:vMerge w:val="continue"/>
            <w:tcBorders>
              <w:left w:val="single" w:color="auto" w:sz="4" w:space="0"/>
              <w:right w:val="single" w:color="auto" w:sz="4" w:space="0"/>
            </w:tcBorders>
            <w:noWrap w:val="0"/>
            <w:vAlign w:val="center"/>
          </w:tcPr>
          <w:p>
            <w:pPr>
              <w:spacing w:line="320" w:lineRule="exact"/>
              <w:jc w:val="left"/>
              <w:rPr>
                <w:rFonts w:hint="eastAsia" w:ascii="仿宋_GB2312" w:hAnsi="宋体" w:eastAsia="仿宋_GB2312"/>
                <w:color w:val="auto"/>
                <w:sz w:val="24"/>
              </w:rPr>
            </w:pPr>
          </w:p>
        </w:tc>
        <w:tc>
          <w:tcPr>
            <w:tcW w:w="836" w:type="dxa"/>
            <w:tcBorders>
              <w:left w:val="single" w:color="auto" w:sz="4" w:space="0"/>
              <w:right w:val="single" w:color="auto" w:sz="4" w:space="0"/>
            </w:tcBorders>
            <w:noWrap w:val="0"/>
            <w:vAlign w:val="center"/>
          </w:tcPr>
          <w:p>
            <w:pPr>
              <w:jc w:val="center"/>
              <w:rPr>
                <w:rFonts w:hint="default" w:ascii="仿宋_GB2312" w:hAnsi="宋体" w:eastAsia="仿宋_GB2312" w:cs="宋体"/>
                <w:b/>
                <w:color w:val="auto"/>
                <w:sz w:val="24"/>
                <w:lang w:val="en-US" w:eastAsia="zh-CN"/>
              </w:rPr>
            </w:pPr>
            <w:r>
              <w:rPr>
                <w:rFonts w:hint="eastAsia" w:ascii="仿宋_GB2312" w:hAnsi="宋体" w:eastAsia="仿宋_GB2312" w:cs="宋体"/>
                <w:b/>
                <w:color w:val="auto"/>
                <w:sz w:val="24"/>
                <w:lang w:val="en-US"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9073" w:type="dxa"/>
            <w:gridSpan w:val="17"/>
            <w:tcBorders>
              <w:left w:val="single" w:color="auto" w:sz="4" w:space="0"/>
              <w:right w:val="single" w:color="auto" w:sz="4" w:space="0"/>
            </w:tcBorders>
            <w:noWrap w:val="0"/>
            <w:vAlign w:val="center"/>
          </w:tcPr>
          <w:p>
            <w:pPr>
              <w:jc w:val="center"/>
              <w:rPr>
                <w:rFonts w:hint="eastAsia" w:ascii="宋体" w:hAnsi="宋体"/>
                <w:sz w:val="24"/>
                <w:szCs w:val="21"/>
              </w:rPr>
            </w:pPr>
            <w:r>
              <w:rPr>
                <w:rFonts w:hint="eastAsia" w:ascii="宋体" w:hAnsi="宋体"/>
                <w:sz w:val="24"/>
                <w:szCs w:val="21"/>
              </w:rPr>
              <w:t>自评得分与复评得分差异情况</w:t>
            </w:r>
          </w:p>
          <w:p>
            <w:pPr>
              <w:jc w:val="center"/>
              <w:rPr>
                <w:rFonts w:hint="eastAsia" w:ascii="仿宋" w:hAnsi="仿宋" w:eastAsia="仿宋" w:cs="仿宋"/>
                <w:b/>
                <w:bCs/>
                <w:color w:val="auto"/>
                <w:sz w:val="24"/>
                <w:szCs w:val="21"/>
                <w:lang w:val="en-US" w:eastAsia="zh-CN"/>
              </w:rPr>
            </w:pPr>
            <w:r>
              <w:rPr>
                <w:rFonts w:hint="eastAsia" w:ascii="宋体" w:hAnsi="宋体"/>
                <w:sz w:val="18"/>
                <w:szCs w:val="21"/>
              </w:rPr>
              <w:t>(</w:t>
            </w:r>
            <w:r>
              <w:rPr>
                <w:rFonts w:hint="eastAsia" w:ascii="仿宋_GB2312" w:hAnsi="SimSun-ExtB" w:eastAsia="仿宋_GB2312"/>
                <w:sz w:val="18"/>
              </w:rPr>
              <w:t>差异率</w:t>
            </w:r>
            <w:r>
              <w:rPr>
                <w:rFonts w:hint="eastAsia" w:ascii="仿宋" w:hAnsi="仿宋" w:eastAsia="仿宋"/>
                <w:sz w:val="18"/>
              </w:rPr>
              <w:t>≤</w:t>
            </w:r>
            <w:r>
              <w:rPr>
                <w:rFonts w:hint="eastAsia" w:ascii="仿宋_GB2312" w:hAnsi="SimSun-ExtB" w:eastAsia="仿宋_GB2312"/>
                <w:sz w:val="18"/>
              </w:rPr>
              <w:t>10%，不扣分；10%&lt;差异率</w:t>
            </w:r>
            <w:r>
              <w:rPr>
                <w:rFonts w:hint="eastAsia" w:ascii="仿宋" w:hAnsi="仿宋" w:eastAsia="仿宋"/>
                <w:sz w:val="18"/>
              </w:rPr>
              <w:t>≤15%，扣2分；</w:t>
            </w:r>
            <w:r>
              <w:rPr>
                <w:rFonts w:hint="eastAsia" w:ascii="仿宋_GB2312" w:hAnsi="SimSun-ExtB" w:eastAsia="仿宋_GB2312"/>
                <w:sz w:val="18"/>
              </w:rPr>
              <w:t>15%&lt;差异率</w:t>
            </w:r>
            <w:r>
              <w:rPr>
                <w:rFonts w:hint="eastAsia" w:ascii="仿宋" w:hAnsi="仿宋" w:eastAsia="仿宋"/>
                <w:sz w:val="18"/>
              </w:rPr>
              <w:t>≤20%，扣4分；</w:t>
            </w:r>
            <w:r>
              <w:rPr>
                <w:rFonts w:hint="eastAsia" w:ascii="仿宋_GB2312" w:hAnsi="SimSun-ExtB" w:eastAsia="仿宋_GB2312"/>
                <w:sz w:val="18"/>
              </w:rPr>
              <w:t>差异率&gt;20%</w:t>
            </w:r>
            <w:r>
              <w:rPr>
                <w:rFonts w:hint="eastAsia" w:ascii="仿宋" w:hAnsi="仿宋" w:eastAsia="仿宋"/>
                <w:sz w:val="18"/>
              </w:rPr>
              <w:t>，扣6分。)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510" w:type="dxa"/>
            <w:tcBorders>
              <w:left w:val="single" w:color="auto" w:sz="4" w:space="0"/>
              <w:right w:val="single" w:color="auto" w:sz="4" w:space="0"/>
            </w:tcBorders>
            <w:noWrap w:val="0"/>
            <w:vAlign w:val="center"/>
          </w:tcPr>
          <w:p>
            <w:pPr>
              <w:jc w:val="center"/>
              <w:rPr>
                <w:rFonts w:hint="eastAsia" w:ascii="仿宋" w:hAnsi="仿宋" w:eastAsia="仿宋" w:cs="仿宋"/>
                <w:b/>
                <w:bCs/>
                <w:color w:val="auto"/>
                <w:sz w:val="24"/>
                <w:szCs w:val="21"/>
                <w:lang w:val="en-US" w:eastAsia="zh-CN"/>
              </w:rPr>
            </w:pPr>
            <w:r>
              <w:rPr>
                <w:rFonts w:hint="eastAsia" w:ascii="宋体" w:hAnsi="宋体"/>
                <w:sz w:val="24"/>
                <w:szCs w:val="21"/>
              </w:rPr>
              <w:t>差异率</w:t>
            </w:r>
          </w:p>
        </w:tc>
        <w:tc>
          <w:tcPr>
            <w:tcW w:w="1513" w:type="dxa"/>
            <w:gridSpan w:val="5"/>
            <w:tcBorders>
              <w:left w:val="single" w:color="auto" w:sz="4" w:space="0"/>
              <w:right w:val="single" w:color="auto" w:sz="4" w:space="0"/>
            </w:tcBorders>
            <w:noWrap w:val="0"/>
            <w:vAlign w:val="center"/>
          </w:tcPr>
          <w:p>
            <w:pPr>
              <w:jc w:val="center"/>
            </w:pPr>
            <w:r>
              <w:rPr>
                <w:rFonts w:hint="eastAsia" w:ascii="宋体" w:hAnsi="宋体" w:eastAsia="宋体"/>
                <w:szCs w:val="21"/>
                <w:lang w:val="en-US" w:eastAsia="zh-CN"/>
              </w:rPr>
              <w:t>8.89%</w:t>
            </w:r>
          </w:p>
        </w:tc>
        <w:tc>
          <w:tcPr>
            <w:tcW w:w="1513" w:type="dxa"/>
            <w:gridSpan w:val="3"/>
            <w:tcBorders>
              <w:left w:val="single" w:color="auto" w:sz="4" w:space="0"/>
              <w:right w:val="single" w:color="auto" w:sz="4" w:space="0"/>
            </w:tcBorders>
            <w:noWrap w:val="0"/>
            <w:vAlign w:val="center"/>
          </w:tcPr>
          <w:p>
            <w:pPr>
              <w:jc w:val="center"/>
            </w:pPr>
            <w:r>
              <w:rPr>
                <w:rFonts w:hint="eastAsia" w:ascii="宋体" w:hAnsi="宋体"/>
                <w:sz w:val="24"/>
                <w:szCs w:val="21"/>
              </w:rPr>
              <w:t>差异率扣分</w:t>
            </w:r>
          </w:p>
        </w:tc>
        <w:tc>
          <w:tcPr>
            <w:tcW w:w="1512" w:type="dxa"/>
            <w:gridSpan w:val="2"/>
            <w:tcBorders>
              <w:left w:val="single" w:color="auto" w:sz="4" w:space="0"/>
              <w:right w:val="single" w:color="auto" w:sz="4" w:space="0"/>
            </w:tcBorders>
            <w:noWrap w:val="0"/>
            <w:vAlign w:val="center"/>
          </w:tcPr>
          <w:p>
            <w:pPr>
              <w:jc w:val="center"/>
            </w:pPr>
            <w:r>
              <w:rPr>
                <w:rFonts w:hint="eastAsia" w:ascii="宋体" w:hAnsi="宋体" w:eastAsia="宋体"/>
                <w:szCs w:val="21"/>
                <w:lang w:val="en-US" w:eastAsia="zh-CN"/>
              </w:rPr>
              <w:t>0</w:t>
            </w:r>
          </w:p>
        </w:tc>
        <w:tc>
          <w:tcPr>
            <w:tcW w:w="1512" w:type="dxa"/>
            <w:gridSpan w:val="4"/>
            <w:tcBorders>
              <w:left w:val="single" w:color="auto" w:sz="4" w:space="0"/>
              <w:right w:val="single" w:color="auto" w:sz="4" w:space="0"/>
            </w:tcBorders>
            <w:noWrap w:val="0"/>
            <w:vAlign w:val="center"/>
          </w:tcPr>
          <w:p>
            <w:pPr>
              <w:jc w:val="center"/>
            </w:pPr>
            <w:r>
              <w:rPr>
                <w:rFonts w:hint="eastAsia" w:ascii="宋体" w:hAnsi="宋体"/>
                <w:sz w:val="24"/>
                <w:szCs w:val="21"/>
              </w:rPr>
              <w:t>评价结果</w:t>
            </w:r>
          </w:p>
        </w:tc>
        <w:tc>
          <w:tcPr>
            <w:tcW w:w="1513" w:type="dxa"/>
            <w:gridSpan w:val="2"/>
            <w:tcBorders>
              <w:left w:val="single" w:color="auto" w:sz="4" w:space="0"/>
              <w:right w:val="single" w:color="auto" w:sz="4" w:space="0"/>
            </w:tcBorders>
            <w:noWrap w:val="0"/>
            <w:vAlign w:val="center"/>
          </w:tcPr>
          <w:p>
            <w:pPr>
              <w:jc w:val="center"/>
              <w:rPr>
                <w:rFonts w:hint="default"/>
                <w:lang w:val="en-US"/>
              </w:rPr>
            </w:pPr>
            <w:r>
              <w:rPr>
                <w:rFonts w:hint="eastAsia" w:ascii="宋体" w:hAnsi="宋体" w:eastAsia="宋体"/>
                <w:sz w:val="24"/>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9073" w:type="dxa"/>
            <w:gridSpan w:val="17"/>
            <w:tcBorders>
              <w:left w:val="single" w:color="auto" w:sz="4" w:space="0"/>
              <w:right w:val="single" w:color="auto" w:sz="4" w:space="0"/>
            </w:tcBorders>
            <w:noWrap w:val="0"/>
            <w:vAlign w:val="center"/>
          </w:tcPr>
          <w:p>
            <w:pPr>
              <w:jc w:val="center"/>
              <w:rPr>
                <w:rFonts w:hint="eastAsia" w:ascii="仿宋_GB2312" w:hAnsi="宋体" w:eastAsia="宋体" w:cs="宋体"/>
                <w:color w:val="auto"/>
                <w:sz w:val="24"/>
                <w:szCs w:val="24"/>
                <w:lang w:eastAsia="zh-CN"/>
              </w:rPr>
            </w:pPr>
            <w:r>
              <w:rPr>
                <w:rFonts w:hint="eastAsia" w:ascii="宋体" w:hAnsi="宋体"/>
                <w:b/>
                <w:color w:val="auto"/>
                <w:sz w:val="28"/>
              </w:rPr>
              <w:t>五、存在的问题与建议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trPr>
        <w:tc>
          <w:tcPr>
            <w:tcW w:w="9073" w:type="dxa"/>
            <w:gridSpan w:val="17"/>
            <w:tcBorders>
              <w:left w:val="single" w:color="auto" w:sz="4" w:space="0"/>
              <w:right w:val="single" w:color="auto" w:sz="4" w:space="0"/>
            </w:tcBorders>
            <w:noWrap w:val="0"/>
            <w:vAlign w:val="center"/>
          </w:tcPr>
          <w:p>
            <w:pPr>
              <w:spacing w:line="360" w:lineRule="exact"/>
              <w:ind w:firstLine="480" w:firstLineChars="200"/>
              <w:rPr>
                <w:rFonts w:hint="default" w:ascii="仿宋" w:hAnsi="仿宋" w:eastAsia="仿宋"/>
                <w:color w:val="auto"/>
                <w:sz w:val="24"/>
                <w:szCs w:val="22"/>
                <w:lang w:val="en-US" w:eastAsia="zh-CN"/>
              </w:rPr>
            </w:pPr>
            <w:r>
              <w:rPr>
                <w:rFonts w:hint="eastAsia" w:ascii="仿宋" w:hAnsi="仿宋" w:eastAsia="仿宋"/>
                <w:color w:val="auto"/>
                <w:sz w:val="24"/>
                <w:szCs w:val="22"/>
                <w:lang w:val="en-US" w:eastAsia="zh-CN"/>
              </w:rPr>
              <w:t>1.</w:t>
            </w:r>
            <w:r>
              <w:rPr>
                <w:rFonts w:hint="eastAsia" w:ascii="仿宋" w:hAnsi="仿宋" w:eastAsia="仿宋"/>
                <w:color w:val="auto"/>
                <w:sz w:val="24"/>
                <w:szCs w:val="22"/>
                <w:highlight w:val="none"/>
              </w:rPr>
              <w:t>项目预算编制不够</w:t>
            </w:r>
            <w:r>
              <w:rPr>
                <w:rFonts w:hint="eastAsia" w:ascii="仿宋" w:hAnsi="仿宋" w:eastAsia="仿宋"/>
                <w:color w:val="auto"/>
                <w:sz w:val="24"/>
                <w:szCs w:val="22"/>
                <w:highlight w:val="none"/>
                <w:lang w:val="en-US" w:eastAsia="zh-CN"/>
              </w:rPr>
              <w:t>科学、合理</w:t>
            </w:r>
            <w:r>
              <w:rPr>
                <w:rFonts w:hint="eastAsia" w:ascii="仿宋" w:hAnsi="仿宋" w:eastAsia="仿宋"/>
                <w:color w:val="auto"/>
                <w:sz w:val="24"/>
                <w:szCs w:val="22"/>
                <w:highlight w:val="none"/>
              </w:rPr>
              <w:t>，</w:t>
            </w:r>
            <w:r>
              <w:rPr>
                <w:rFonts w:hint="eastAsia" w:ascii="仿宋" w:hAnsi="仿宋" w:eastAsia="仿宋"/>
                <w:color w:val="auto"/>
                <w:sz w:val="24"/>
                <w:szCs w:val="22"/>
                <w:highlight w:val="none"/>
                <w:lang w:val="en-US" w:eastAsia="zh-CN"/>
              </w:rPr>
              <w:t>一是</w:t>
            </w:r>
            <w:r>
              <w:rPr>
                <w:rFonts w:hint="eastAsia" w:ascii="仿宋" w:hAnsi="仿宋" w:eastAsia="仿宋"/>
                <w:color w:val="auto"/>
                <w:sz w:val="24"/>
                <w:szCs w:val="22"/>
                <w:highlight w:val="none"/>
              </w:rPr>
              <w:t>项目预算支出测算不够详细</w:t>
            </w:r>
            <w:r>
              <w:rPr>
                <w:rFonts w:hint="eastAsia" w:ascii="仿宋" w:hAnsi="仿宋" w:eastAsia="仿宋"/>
                <w:color w:val="auto"/>
                <w:sz w:val="24"/>
                <w:szCs w:val="22"/>
                <w:highlight w:val="none"/>
                <w:lang w:eastAsia="zh-CN"/>
              </w:rPr>
              <w:t>；</w:t>
            </w:r>
            <w:r>
              <w:rPr>
                <w:rFonts w:hint="eastAsia" w:ascii="仿宋" w:hAnsi="仿宋" w:eastAsia="仿宋"/>
                <w:color w:val="auto"/>
                <w:sz w:val="24"/>
                <w:szCs w:val="22"/>
                <w:highlight w:val="none"/>
                <w:lang w:val="en-US" w:eastAsia="zh-CN"/>
              </w:rPr>
              <w:t>二是</w:t>
            </w:r>
            <w:r>
              <w:rPr>
                <w:rFonts w:hint="eastAsia" w:ascii="仿宋" w:hAnsi="仿宋" w:eastAsia="仿宋"/>
                <w:color w:val="auto"/>
                <w:sz w:val="24"/>
                <w:szCs w:val="22"/>
                <w:highlight w:val="none"/>
              </w:rPr>
              <w:t>项目产出指标不够明确、量化。</w:t>
            </w:r>
          </w:p>
          <w:p>
            <w:pPr>
              <w:spacing w:line="360" w:lineRule="exact"/>
              <w:ind w:firstLine="480" w:firstLineChars="200"/>
              <w:rPr>
                <w:rFonts w:hint="eastAsia" w:ascii="仿宋" w:hAnsi="仿宋" w:eastAsia="仿宋"/>
                <w:color w:val="auto"/>
                <w:sz w:val="24"/>
                <w:szCs w:val="22"/>
              </w:rPr>
            </w:pPr>
            <w:r>
              <w:rPr>
                <w:rFonts w:hint="eastAsia" w:ascii="仿宋" w:hAnsi="仿宋" w:eastAsia="仿宋"/>
                <w:color w:val="auto"/>
                <w:sz w:val="24"/>
                <w:szCs w:val="22"/>
              </w:rPr>
              <w:t>建议：科学、合理地编制项目预算</w:t>
            </w:r>
            <w:r>
              <w:rPr>
                <w:rFonts w:hint="eastAsia" w:ascii="仿宋" w:hAnsi="仿宋" w:eastAsia="仿宋"/>
                <w:color w:val="auto"/>
                <w:sz w:val="24"/>
                <w:szCs w:val="22"/>
                <w:lang w:eastAsia="zh-CN"/>
              </w:rPr>
              <w:t>。</w:t>
            </w:r>
            <w:r>
              <w:rPr>
                <w:rFonts w:hint="eastAsia" w:ascii="仿宋" w:hAnsi="仿宋" w:eastAsia="仿宋"/>
                <w:color w:val="auto"/>
                <w:sz w:val="24"/>
                <w:szCs w:val="22"/>
              </w:rPr>
              <w:t>资金预算编制应做到具体、详细，测算依据充分、明确；根据经费投入情况进一步明确、量化相关的产出指标。</w:t>
            </w:r>
          </w:p>
          <w:p>
            <w:pPr>
              <w:spacing w:line="360" w:lineRule="exact"/>
              <w:ind w:firstLine="480" w:firstLineChars="200"/>
              <w:rPr>
                <w:rFonts w:hint="eastAsia" w:ascii="仿宋" w:hAnsi="仿宋" w:eastAsia="仿宋"/>
                <w:color w:val="auto"/>
                <w:sz w:val="24"/>
                <w:szCs w:val="22"/>
                <w:highlight w:val="none"/>
                <w:lang w:val="en-US" w:eastAsia="zh-CN"/>
              </w:rPr>
            </w:pPr>
            <w:r>
              <w:rPr>
                <w:rFonts w:hint="eastAsia" w:ascii="仿宋" w:hAnsi="仿宋" w:eastAsia="仿宋"/>
                <w:color w:val="auto"/>
                <w:sz w:val="24"/>
                <w:szCs w:val="22"/>
                <w:lang w:val="en-US" w:eastAsia="zh-CN"/>
              </w:rPr>
              <w:t>2.部分工程项目进度滞后。</w:t>
            </w:r>
          </w:p>
          <w:p>
            <w:pPr>
              <w:spacing w:line="360" w:lineRule="exact"/>
              <w:ind w:firstLine="480" w:firstLineChars="200"/>
              <w:rPr>
                <w:rFonts w:hint="default" w:ascii="仿宋" w:hAnsi="仿宋" w:eastAsia="仿宋"/>
                <w:b w:val="0"/>
                <w:bCs/>
                <w:color w:val="auto"/>
                <w:sz w:val="24"/>
                <w:szCs w:val="18"/>
                <w:shd w:val="clear" w:color="auto" w:fill="auto"/>
                <w:lang w:val="en-US" w:eastAsia="zh-CN"/>
              </w:rPr>
            </w:pPr>
            <w:r>
              <w:rPr>
                <w:rFonts w:hint="eastAsia" w:ascii="仿宋" w:hAnsi="仿宋" w:eastAsia="仿宋"/>
                <w:color w:val="auto"/>
                <w:sz w:val="24"/>
                <w:szCs w:val="22"/>
                <w:highlight w:val="none"/>
                <w:lang w:val="en-US" w:eastAsia="zh-CN"/>
              </w:rPr>
              <w:t>建议：加大项目实施力度，确保各工程项目按期完成，及时发挥项目效益。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73" w:type="dxa"/>
            <w:gridSpan w:val="17"/>
            <w:noWrap w:val="0"/>
            <w:vAlign w:val="center"/>
          </w:tcPr>
          <w:p>
            <w:pPr>
              <w:jc w:val="center"/>
              <w:rPr>
                <w:rFonts w:hint="eastAsia" w:ascii="宋体" w:hAnsi="宋体"/>
                <w:b/>
                <w:color w:val="auto"/>
                <w:sz w:val="28"/>
              </w:rPr>
            </w:pPr>
            <w:r>
              <w:rPr>
                <w:rFonts w:hint="eastAsia" w:ascii="宋体" w:hAnsi="宋体"/>
                <w:b/>
                <w:color w:val="auto"/>
                <w:sz w:val="28"/>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41" w:type="dxa"/>
            <w:gridSpan w:val="2"/>
            <w:noWrap w:val="0"/>
            <w:vAlign w:val="center"/>
          </w:tcPr>
          <w:p>
            <w:pPr>
              <w:jc w:val="center"/>
              <w:rPr>
                <w:rFonts w:hint="eastAsia" w:ascii="宋体" w:hAnsi="宋体"/>
                <w:color w:val="auto"/>
                <w:sz w:val="28"/>
                <w:szCs w:val="28"/>
              </w:rPr>
            </w:pPr>
            <w:r>
              <w:rPr>
                <w:rFonts w:hint="eastAsia" w:ascii="宋体" w:hAnsi="宋体"/>
                <w:color w:val="auto"/>
                <w:sz w:val="28"/>
                <w:szCs w:val="28"/>
              </w:rPr>
              <w:t>姓  名</w:t>
            </w:r>
          </w:p>
        </w:tc>
        <w:tc>
          <w:tcPr>
            <w:tcW w:w="2211" w:type="dxa"/>
            <w:gridSpan w:val="6"/>
            <w:noWrap w:val="0"/>
            <w:vAlign w:val="center"/>
          </w:tcPr>
          <w:p>
            <w:pPr>
              <w:jc w:val="center"/>
              <w:rPr>
                <w:rFonts w:hint="eastAsia" w:ascii="宋体" w:hAnsi="宋体"/>
                <w:color w:val="auto"/>
                <w:sz w:val="28"/>
                <w:szCs w:val="28"/>
              </w:rPr>
            </w:pPr>
            <w:r>
              <w:rPr>
                <w:rFonts w:hint="eastAsia" w:ascii="宋体" w:hAnsi="宋体"/>
                <w:color w:val="auto"/>
                <w:sz w:val="28"/>
                <w:szCs w:val="28"/>
              </w:rPr>
              <w:t>职务/职称</w:t>
            </w:r>
          </w:p>
        </w:tc>
        <w:tc>
          <w:tcPr>
            <w:tcW w:w="3108" w:type="dxa"/>
            <w:gridSpan w:val="5"/>
            <w:noWrap w:val="0"/>
            <w:vAlign w:val="center"/>
          </w:tcPr>
          <w:p>
            <w:pPr>
              <w:jc w:val="center"/>
              <w:rPr>
                <w:rFonts w:hint="eastAsia" w:ascii="宋体" w:hAnsi="宋体"/>
                <w:color w:val="auto"/>
                <w:sz w:val="28"/>
                <w:szCs w:val="28"/>
              </w:rPr>
            </w:pPr>
            <w:r>
              <w:rPr>
                <w:rFonts w:hint="eastAsia" w:ascii="宋体" w:hAnsi="宋体"/>
                <w:color w:val="auto"/>
                <w:sz w:val="28"/>
                <w:szCs w:val="28"/>
              </w:rPr>
              <w:t>单     位</w:t>
            </w:r>
          </w:p>
        </w:tc>
        <w:tc>
          <w:tcPr>
            <w:tcW w:w="1913" w:type="dxa"/>
            <w:gridSpan w:val="4"/>
            <w:noWrap w:val="0"/>
            <w:vAlign w:val="center"/>
          </w:tcPr>
          <w:p>
            <w:pPr>
              <w:jc w:val="center"/>
              <w:rPr>
                <w:rFonts w:hint="eastAsia" w:ascii="宋体" w:hAnsi="宋体"/>
                <w:color w:val="auto"/>
                <w:sz w:val="28"/>
                <w:szCs w:val="28"/>
              </w:rPr>
            </w:pPr>
            <w:r>
              <w:rPr>
                <w:rFonts w:hint="eastAsia" w:ascii="宋体" w:hAnsi="宋体"/>
                <w:color w:val="auto"/>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41" w:type="dxa"/>
            <w:gridSpan w:val="2"/>
            <w:noWrap w:val="0"/>
            <w:vAlign w:val="center"/>
          </w:tcPr>
          <w:p>
            <w:pPr>
              <w:jc w:val="center"/>
              <w:rPr>
                <w:rFonts w:hint="eastAsia" w:ascii="宋体" w:hAnsi="宋体" w:eastAsia="宋体"/>
                <w:color w:val="auto"/>
                <w:szCs w:val="21"/>
                <w:lang w:val="en-US" w:eastAsia="zh-CN"/>
              </w:rPr>
            </w:pPr>
            <w:r>
              <w:rPr>
                <w:rFonts w:hint="eastAsia" w:ascii="宋体" w:hAnsi="宋体"/>
                <w:color w:val="auto"/>
                <w:szCs w:val="21"/>
                <w:lang w:val="en-US" w:eastAsia="zh-CN"/>
              </w:rPr>
              <w:t>熊德林</w:t>
            </w:r>
          </w:p>
        </w:tc>
        <w:tc>
          <w:tcPr>
            <w:tcW w:w="2211" w:type="dxa"/>
            <w:gridSpan w:val="6"/>
            <w:noWrap w:val="0"/>
            <w:vAlign w:val="center"/>
          </w:tcPr>
          <w:p>
            <w:pPr>
              <w:jc w:val="center"/>
              <w:rPr>
                <w:rFonts w:hint="eastAsia" w:ascii="宋体" w:hAnsi="宋体"/>
                <w:color w:val="auto"/>
                <w:sz w:val="18"/>
                <w:szCs w:val="18"/>
              </w:rPr>
            </w:pPr>
            <w:r>
              <w:rPr>
                <w:rFonts w:hint="eastAsia" w:ascii="宋体" w:hAnsi="宋体"/>
                <w:color w:val="auto"/>
                <w:sz w:val="18"/>
                <w:szCs w:val="18"/>
              </w:rPr>
              <w:t>项目负责人、高级会计师</w:t>
            </w:r>
          </w:p>
        </w:tc>
        <w:tc>
          <w:tcPr>
            <w:tcW w:w="3108" w:type="dxa"/>
            <w:gridSpan w:val="5"/>
            <w:noWrap w:val="0"/>
            <w:vAlign w:val="center"/>
          </w:tcPr>
          <w:p>
            <w:pPr>
              <w:jc w:val="center"/>
              <w:rPr>
                <w:rFonts w:hint="eastAsia" w:ascii="宋体" w:hAnsi="宋体"/>
                <w:color w:val="auto"/>
                <w:szCs w:val="21"/>
              </w:rPr>
            </w:pPr>
            <w:r>
              <w:rPr>
                <w:rFonts w:hint="eastAsia" w:ascii="宋体" w:hAnsi="宋体"/>
                <w:color w:val="auto"/>
                <w:szCs w:val="21"/>
              </w:rPr>
              <w:t>浙江天平会计师事务所</w:t>
            </w:r>
          </w:p>
          <w:p>
            <w:pPr>
              <w:jc w:val="center"/>
              <w:rPr>
                <w:rFonts w:hint="eastAsia" w:ascii="宋体" w:hAnsi="宋体"/>
                <w:color w:val="auto"/>
                <w:szCs w:val="21"/>
              </w:rPr>
            </w:pPr>
            <w:r>
              <w:rPr>
                <w:rFonts w:hint="eastAsia" w:ascii="宋体" w:hAnsi="宋体"/>
                <w:color w:val="auto"/>
                <w:szCs w:val="21"/>
              </w:rPr>
              <w:t>温州分所</w:t>
            </w:r>
          </w:p>
        </w:tc>
        <w:tc>
          <w:tcPr>
            <w:tcW w:w="1913"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41" w:type="dxa"/>
            <w:gridSpan w:val="2"/>
            <w:noWrap w:val="0"/>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张朝旭</w:t>
            </w:r>
          </w:p>
        </w:tc>
        <w:tc>
          <w:tcPr>
            <w:tcW w:w="2211" w:type="dxa"/>
            <w:gridSpan w:val="6"/>
            <w:noWrap w:val="0"/>
            <w:vAlign w:val="center"/>
          </w:tcPr>
          <w:p>
            <w:pPr>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助理会计师</w:t>
            </w:r>
          </w:p>
        </w:tc>
        <w:tc>
          <w:tcPr>
            <w:tcW w:w="3108" w:type="dxa"/>
            <w:gridSpan w:val="5"/>
            <w:noWrap w:val="0"/>
            <w:vAlign w:val="center"/>
          </w:tcPr>
          <w:p>
            <w:pPr>
              <w:jc w:val="center"/>
              <w:rPr>
                <w:rFonts w:hint="eastAsia" w:ascii="宋体" w:hAnsi="宋体"/>
                <w:color w:val="auto"/>
                <w:szCs w:val="21"/>
              </w:rPr>
            </w:pPr>
            <w:r>
              <w:rPr>
                <w:rFonts w:hint="eastAsia" w:ascii="宋体" w:hAnsi="宋体"/>
                <w:color w:val="auto"/>
                <w:szCs w:val="21"/>
              </w:rPr>
              <w:t>浙江天平会计师事务所</w:t>
            </w:r>
          </w:p>
          <w:p>
            <w:pPr>
              <w:jc w:val="center"/>
              <w:rPr>
                <w:rFonts w:hint="eastAsia" w:ascii="宋体" w:hAnsi="宋体"/>
                <w:color w:val="auto"/>
                <w:szCs w:val="21"/>
              </w:rPr>
            </w:pPr>
            <w:r>
              <w:rPr>
                <w:rFonts w:hint="eastAsia" w:ascii="宋体" w:hAnsi="宋体"/>
                <w:color w:val="auto"/>
                <w:szCs w:val="21"/>
              </w:rPr>
              <w:t>温州分所</w:t>
            </w:r>
          </w:p>
        </w:tc>
        <w:tc>
          <w:tcPr>
            <w:tcW w:w="1913"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41" w:type="dxa"/>
            <w:gridSpan w:val="2"/>
            <w:noWrap w:val="0"/>
            <w:vAlign w:val="center"/>
          </w:tcPr>
          <w:p>
            <w:pPr>
              <w:jc w:val="center"/>
              <w:rPr>
                <w:rFonts w:hint="default" w:ascii="宋体" w:hAnsi="宋体"/>
                <w:color w:val="auto"/>
                <w:szCs w:val="21"/>
                <w:lang w:val="en-US" w:eastAsia="zh-CN"/>
              </w:rPr>
            </w:pPr>
            <w:r>
              <w:rPr>
                <w:rFonts w:hint="eastAsia" w:ascii="宋体" w:hAnsi="宋体"/>
                <w:color w:val="auto"/>
                <w:szCs w:val="21"/>
                <w:lang w:val="en-US" w:eastAsia="zh-CN"/>
              </w:rPr>
              <w:t>张潮</w:t>
            </w:r>
          </w:p>
        </w:tc>
        <w:tc>
          <w:tcPr>
            <w:tcW w:w="2211" w:type="dxa"/>
            <w:gridSpan w:val="6"/>
            <w:noWrap w:val="0"/>
            <w:vAlign w:val="center"/>
          </w:tcPr>
          <w:p>
            <w:pPr>
              <w:jc w:val="center"/>
              <w:rPr>
                <w:rFonts w:hint="default" w:ascii="宋体" w:hAnsi="宋体"/>
                <w:color w:val="auto"/>
                <w:sz w:val="18"/>
                <w:szCs w:val="18"/>
                <w:lang w:val="en-US" w:eastAsia="zh-CN"/>
              </w:rPr>
            </w:pPr>
            <w:r>
              <w:rPr>
                <w:rFonts w:hint="eastAsia" w:ascii="宋体" w:hAnsi="宋体"/>
                <w:color w:val="auto"/>
                <w:sz w:val="18"/>
                <w:szCs w:val="18"/>
                <w:lang w:val="en-US" w:eastAsia="zh-CN"/>
              </w:rPr>
              <w:t>助理会计师</w:t>
            </w:r>
          </w:p>
        </w:tc>
        <w:tc>
          <w:tcPr>
            <w:tcW w:w="3108" w:type="dxa"/>
            <w:gridSpan w:val="5"/>
            <w:noWrap w:val="0"/>
            <w:vAlign w:val="center"/>
          </w:tcPr>
          <w:p>
            <w:pPr>
              <w:jc w:val="center"/>
              <w:rPr>
                <w:rFonts w:hint="eastAsia" w:ascii="宋体" w:hAnsi="宋体"/>
                <w:color w:val="auto"/>
                <w:szCs w:val="21"/>
              </w:rPr>
            </w:pPr>
            <w:r>
              <w:rPr>
                <w:rFonts w:hint="eastAsia" w:ascii="宋体" w:hAnsi="宋体"/>
                <w:color w:val="auto"/>
                <w:szCs w:val="21"/>
              </w:rPr>
              <w:t>浙江天平会计师事务所</w:t>
            </w:r>
          </w:p>
          <w:p>
            <w:pPr>
              <w:jc w:val="center"/>
              <w:rPr>
                <w:rFonts w:hint="eastAsia" w:ascii="宋体" w:hAnsi="宋体"/>
                <w:color w:val="auto"/>
                <w:szCs w:val="21"/>
              </w:rPr>
            </w:pPr>
            <w:r>
              <w:rPr>
                <w:rFonts w:hint="eastAsia" w:ascii="宋体" w:hAnsi="宋体"/>
                <w:color w:val="auto"/>
                <w:szCs w:val="21"/>
              </w:rPr>
              <w:t>温州分所</w:t>
            </w:r>
          </w:p>
        </w:tc>
        <w:tc>
          <w:tcPr>
            <w:tcW w:w="1913" w:type="dxa"/>
            <w:gridSpan w:val="4"/>
            <w:noWrap w:val="0"/>
            <w:vAlign w:val="center"/>
          </w:tcPr>
          <w:p>
            <w:pPr>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9073" w:type="dxa"/>
            <w:gridSpan w:val="17"/>
            <w:noWrap w:val="0"/>
            <w:vAlign w:val="center"/>
          </w:tcPr>
          <w:p>
            <w:pPr>
              <w:jc w:val="center"/>
              <w:rPr>
                <w:rFonts w:hint="eastAsia" w:ascii="宋体" w:hAnsi="宋体"/>
                <w:b/>
                <w:color w:val="auto"/>
                <w:szCs w:val="21"/>
              </w:rPr>
            </w:pPr>
            <w:r>
              <w:rPr>
                <w:rFonts w:hint="eastAsia" w:ascii="宋体" w:hAnsi="宋体"/>
                <w:b/>
                <w:color w:val="auto"/>
                <w:szCs w:val="21"/>
              </w:rPr>
              <w:t>本评价小组与以上复核项目不存在任何利益冲突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2919" w:type="dxa"/>
            <w:gridSpan w:val="5"/>
            <w:noWrap w:val="0"/>
            <w:vAlign w:val="center"/>
          </w:tcPr>
          <w:p>
            <w:pPr>
              <w:rPr>
                <w:rFonts w:hint="eastAsia" w:ascii="宋体" w:hAnsi="宋体"/>
                <w:color w:val="auto"/>
                <w:szCs w:val="21"/>
              </w:rPr>
            </w:pPr>
            <w:r>
              <w:rPr>
                <w:rFonts w:hint="eastAsia" w:ascii="宋体" w:hAnsi="宋体"/>
                <w:color w:val="auto"/>
                <w:szCs w:val="21"/>
              </w:rPr>
              <w:t>填报人（签字）：</w:t>
            </w:r>
          </w:p>
          <w:p>
            <w:pPr>
              <w:jc w:val="right"/>
              <w:rPr>
                <w:rFonts w:hint="eastAsia" w:ascii="宋体" w:hAnsi="宋体"/>
                <w:color w:val="auto"/>
                <w:szCs w:val="21"/>
              </w:rPr>
            </w:pPr>
          </w:p>
          <w:p>
            <w:pPr>
              <w:jc w:val="right"/>
              <w:rPr>
                <w:rFonts w:hint="eastAsia" w:ascii="宋体" w:hAnsi="宋体"/>
                <w:color w:val="auto"/>
                <w:szCs w:val="21"/>
              </w:rPr>
            </w:pPr>
          </w:p>
          <w:p>
            <w:pPr>
              <w:jc w:val="right"/>
              <w:rPr>
                <w:rFonts w:hint="eastAsia" w:ascii="宋体" w:hAnsi="宋体"/>
                <w:color w:val="auto"/>
                <w:szCs w:val="21"/>
              </w:rPr>
            </w:pPr>
          </w:p>
          <w:p>
            <w:pPr>
              <w:jc w:val="right"/>
              <w:rPr>
                <w:rFonts w:hint="eastAsia" w:ascii="宋体" w:hAnsi="宋体"/>
                <w:color w:val="auto"/>
                <w:szCs w:val="21"/>
              </w:rPr>
            </w:pPr>
            <w:r>
              <w:rPr>
                <w:rFonts w:hint="eastAsia" w:ascii="宋体" w:hAnsi="宋体"/>
                <w:color w:val="auto"/>
                <w:szCs w:val="21"/>
              </w:rPr>
              <w:t>年   月   日</w:t>
            </w:r>
          </w:p>
        </w:tc>
        <w:tc>
          <w:tcPr>
            <w:tcW w:w="3187" w:type="dxa"/>
            <w:gridSpan w:val="7"/>
            <w:noWrap w:val="0"/>
            <w:vAlign w:val="center"/>
          </w:tcPr>
          <w:p>
            <w:pPr>
              <w:rPr>
                <w:rFonts w:hint="eastAsia" w:ascii="宋体" w:hAnsi="宋体"/>
                <w:color w:val="auto"/>
                <w:szCs w:val="21"/>
              </w:rPr>
            </w:pPr>
            <w:r>
              <w:rPr>
                <w:rFonts w:hint="eastAsia" w:ascii="宋体" w:hAnsi="宋体"/>
                <w:color w:val="auto"/>
                <w:szCs w:val="21"/>
              </w:rPr>
              <w:t>评价机构项目负责人：（签字）</w:t>
            </w:r>
          </w:p>
          <w:p>
            <w:pPr>
              <w:jc w:val="right"/>
              <w:rPr>
                <w:rFonts w:hint="eastAsia" w:ascii="宋体" w:hAnsi="宋体"/>
                <w:color w:val="auto"/>
                <w:szCs w:val="21"/>
              </w:rPr>
            </w:pPr>
          </w:p>
          <w:p>
            <w:pPr>
              <w:jc w:val="right"/>
              <w:rPr>
                <w:rFonts w:hint="eastAsia" w:ascii="宋体" w:hAnsi="宋体"/>
                <w:color w:val="auto"/>
                <w:szCs w:val="21"/>
              </w:rPr>
            </w:pPr>
          </w:p>
          <w:p>
            <w:pPr>
              <w:jc w:val="right"/>
              <w:rPr>
                <w:rFonts w:hint="eastAsia" w:ascii="宋体" w:hAnsi="宋体"/>
                <w:color w:val="auto"/>
                <w:szCs w:val="21"/>
              </w:rPr>
            </w:pPr>
          </w:p>
          <w:p>
            <w:pPr>
              <w:jc w:val="right"/>
              <w:rPr>
                <w:rFonts w:hint="eastAsia" w:ascii="宋体" w:hAnsi="宋体"/>
                <w:color w:val="auto"/>
                <w:szCs w:val="21"/>
              </w:rPr>
            </w:pPr>
            <w:r>
              <w:rPr>
                <w:rFonts w:hint="eastAsia" w:ascii="宋体" w:hAnsi="宋体"/>
                <w:color w:val="auto"/>
                <w:szCs w:val="21"/>
              </w:rPr>
              <w:t>年   月   日</w:t>
            </w:r>
          </w:p>
        </w:tc>
        <w:tc>
          <w:tcPr>
            <w:tcW w:w="2967" w:type="dxa"/>
            <w:gridSpan w:val="5"/>
            <w:noWrap w:val="0"/>
            <w:vAlign w:val="center"/>
          </w:tcPr>
          <w:p>
            <w:pPr>
              <w:rPr>
                <w:rFonts w:hint="eastAsia" w:ascii="宋体" w:hAnsi="宋体"/>
                <w:color w:val="auto"/>
                <w:szCs w:val="21"/>
              </w:rPr>
            </w:pPr>
            <w:r>
              <w:rPr>
                <w:rFonts w:hint="eastAsia" w:ascii="宋体" w:hAnsi="宋体"/>
                <w:color w:val="auto"/>
                <w:szCs w:val="21"/>
              </w:rPr>
              <w:t>评价机构负责人：（签字、盖章）</w:t>
            </w:r>
          </w:p>
          <w:p>
            <w:pPr>
              <w:jc w:val="right"/>
              <w:rPr>
                <w:rFonts w:hint="eastAsia" w:ascii="宋体" w:hAnsi="宋体"/>
                <w:color w:val="auto"/>
                <w:szCs w:val="21"/>
              </w:rPr>
            </w:pPr>
          </w:p>
          <w:p>
            <w:pPr>
              <w:jc w:val="right"/>
              <w:rPr>
                <w:rFonts w:hint="eastAsia" w:ascii="宋体" w:hAnsi="宋体"/>
                <w:color w:val="auto"/>
                <w:szCs w:val="21"/>
              </w:rPr>
            </w:pPr>
          </w:p>
          <w:p>
            <w:pPr>
              <w:jc w:val="right"/>
              <w:rPr>
                <w:rFonts w:hint="eastAsia" w:ascii="宋体" w:hAnsi="宋体"/>
                <w:color w:val="auto"/>
                <w:szCs w:val="21"/>
              </w:rPr>
            </w:pPr>
          </w:p>
          <w:p>
            <w:pPr>
              <w:jc w:val="right"/>
              <w:rPr>
                <w:rFonts w:hint="eastAsia" w:ascii="宋体" w:hAnsi="宋体"/>
                <w:color w:val="auto"/>
                <w:szCs w:val="21"/>
              </w:rPr>
            </w:pPr>
            <w:r>
              <w:rPr>
                <w:rFonts w:hint="eastAsia" w:ascii="宋体" w:hAnsi="宋体"/>
                <w:color w:val="auto"/>
                <w:szCs w:val="21"/>
              </w:rPr>
              <w:t>年   月   日</w:t>
            </w:r>
          </w:p>
        </w:tc>
      </w:tr>
    </w:tbl>
    <w:p>
      <w:pPr>
        <w:keepNext w:val="0"/>
        <w:keepLines w:val="0"/>
        <w:widowControl/>
        <w:suppressLineNumbers w:val="0"/>
        <w:spacing w:before="0" w:beforeAutospacing="0" w:after="0" w:afterAutospacing="0" w:line="600" w:lineRule="atLeast"/>
        <w:ind w:left="0" w:right="0" w:firstLine="640"/>
        <w:jc w:val="both"/>
        <w:rPr>
          <w:rFonts w:hint="eastAsia" w:ascii="仿宋" w:hAnsi="仿宋" w:eastAsia="仿宋" w:cs="仿宋"/>
          <w:kern w:val="0"/>
          <w:sz w:val="32"/>
          <w:szCs w:val="32"/>
          <w:lang w:val="en-US" w:eastAsia="zh-CN"/>
        </w:rPr>
      </w:pPr>
    </w:p>
    <w:p>
      <w:pPr>
        <w:spacing w:line="600" w:lineRule="atLeast"/>
        <w:ind w:firstLine="640"/>
        <w:jc w:val="both"/>
        <w:rPr>
          <w:rFonts w:hint="eastAsia" w:ascii="仿宋" w:hAnsi="仿宋" w:eastAsia="仿宋" w:cs="Arial"/>
          <w:sz w:val="32"/>
          <w:szCs w:val="32"/>
        </w:rPr>
      </w:pPr>
    </w:p>
    <w:p>
      <w:pPr>
        <w:spacing w:line="600" w:lineRule="atLeast"/>
        <w:ind w:left="0" w:firstLine="630" w:firstLineChars="196"/>
        <w:jc w:val="both"/>
        <w:rPr>
          <w:rFonts w:hint="eastAsia" w:ascii="宋体" w:hAnsi="宋体" w:eastAsia="宋体" w:cs="宋体"/>
          <w:kern w:val="0"/>
          <w:sz w:val="24"/>
          <w:szCs w:val="24"/>
        </w:rPr>
      </w:pPr>
      <w:r>
        <w:rPr>
          <w:rStyle w:val="11"/>
          <w:rFonts w:hint="eastAsia" w:ascii="仿宋" w:hAnsi="仿宋" w:eastAsia="仿宋" w:cs="Arial"/>
          <w:b/>
          <w:sz w:val="32"/>
          <w:szCs w:val="32"/>
          <w:shd w:val="clear" w:fill="FFFFFF"/>
        </w:rPr>
        <w:t xml:space="preserve">4.  </w:t>
      </w:r>
      <w:r>
        <w:rPr>
          <w:rStyle w:val="11"/>
          <w:rFonts w:hint="eastAsia" w:ascii="宋体" w:hAnsi="宋体" w:eastAsia="宋体" w:cs="宋体"/>
          <w:b/>
          <w:sz w:val="32"/>
          <w:szCs w:val="32"/>
          <w:shd w:val="clear" w:fill="FFFFFF"/>
        </w:rPr>
        <w:t>部门评价项目绩效评价结果。</w:t>
      </w:r>
    </w:p>
    <w:p>
      <w:pPr>
        <w:spacing w:line="600" w:lineRule="atLeast"/>
        <w:ind w:left="0" w:firstLine="1120" w:firstLineChars="350"/>
        <w:jc w:val="both"/>
        <w:rPr>
          <w:rFonts w:hint="eastAsia" w:ascii="宋体" w:hAnsi="宋体" w:eastAsia="宋体" w:cs="宋体"/>
          <w:b/>
          <w:kern w:val="0"/>
          <w:sz w:val="32"/>
          <w:szCs w:val="32"/>
        </w:rPr>
      </w:pPr>
      <w:r>
        <w:rPr>
          <w:rStyle w:val="10"/>
          <w:rFonts w:hint="eastAsia" w:ascii="宋体" w:hAnsi="宋体" w:eastAsia="宋体" w:cs="宋体"/>
          <w:b w:val="0"/>
          <w:sz w:val="32"/>
          <w:szCs w:val="32"/>
        </w:rPr>
        <w:t>本年度未开展部门评价项目绩效评价，因此无相关内容。</w:t>
      </w:r>
    </w:p>
    <w:p>
      <w:pPr>
        <w:spacing w:line="600" w:lineRule="atLeast"/>
        <w:ind w:firstLine="640"/>
        <w:jc w:val="both"/>
        <w:rPr>
          <w:rFonts w:hint="eastAsia" w:ascii="仿宋" w:hAnsi="仿宋" w:eastAsia="仿宋" w:cs="Arial"/>
          <w:sz w:val="32"/>
          <w:szCs w:val="32"/>
        </w:rPr>
      </w:pPr>
    </w:p>
    <w:p>
      <w:pPr>
        <w:spacing w:line="600" w:lineRule="atLeast"/>
        <w:ind w:firstLine="640"/>
        <w:jc w:val="both"/>
      </w:pPr>
      <w:r>
        <w:rPr>
          <w:rStyle w:val="7"/>
          <w:rFonts w:hint="eastAsia" w:ascii="楷体" w:hAnsi="楷体" w:eastAsia="楷体"/>
          <w:sz w:val="32"/>
          <w:szCs w:val="32"/>
        </w:rPr>
        <w:t>（十）其他重要事项的情况说明</w:t>
      </w:r>
    </w:p>
    <w:p>
      <w:pPr>
        <w:spacing w:line="600" w:lineRule="atLeast"/>
        <w:ind w:firstLine="640"/>
        <w:jc w:val="both"/>
      </w:pPr>
      <w:r>
        <w:rPr>
          <w:rStyle w:val="7"/>
          <w:rFonts w:hint="eastAsia" w:ascii="仿宋" w:hAnsi="仿宋" w:eastAsia="仿宋" w:cs="Arial"/>
          <w:sz w:val="32"/>
          <w:szCs w:val="32"/>
        </w:rPr>
        <w:t>1.机关运行经费支出情况。</w:t>
      </w:r>
    </w:p>
    <w:p>
      <w:pPr>
        <w:spacing w:line="600" w:lineRule="atLeast"/>
        <w:ind w:firstLine="640"/>
        <w:jc w:val="both"/>
      </w:pPr>
      <w:r>
        <w:rPr>
          <w:rFonts w:hint="eastAsia" w:ascii="仿宋" w:hAnsi="仿宋" w:eastAsia="仿宋" w:cs="Arial"/>
          <w:sz w:val="32"/>
          <w:szCs w:val="32"/>
        </w:rPr>
        <w:t>2019年度机关运行经费支出1,143.94万元，比年初预算数增加（减少）808.32万元，增长（下降）41.52%，主要原因是伙食补助费从人员经费中调整至机关运行经费。</w:t>
      </w:r>
    </w:p>
    <w:p>
      <w:pPr>
        <w:spacing w:line="600" w:lineRule="atLeast"/>
        <w:ind w:firstLine="640"/>
        <w:jc w:val="both"/>
      </w:pPr>
      <w:r>
        <w:rPr>
          <w:rStyle w:val="7"/>
          <w:rFonts w:hint="eastAsia" w:ascii="仿宋" w:hAnsi="仿宋" w:eastAsia="仿宋" w:cs="Arial"/>
          <w:sz w:val="32"/>
          <w:szCs w:val="32"/>
        </w:rPr>
        <w:t>2.政府采购支出情况。</w:t>
      </w:r>
    </w:p>
    <w:p>
      <w:pPr>
        <w:spacing w:line="600" w:lineRule="atLeast"/>
        <w:ind w:firstLine="640"/>
        <w:jc w:val="both"/>
      </w:pPr>
      <w:r>
        <w:rPr>
          <w:rFonts w:hint="eastAsia" w:ascii="仿宋" w:hAnsi="仿宋" w:eastAsia="仿宋" w:cs="Arial"/>
          <w:sz w:val="32"/>
          <w:szCs w:val="32"/>
        </w:rPr>
        <w:t>2019年度政府采购支出总额7,747.22万元，其中：政府采购货物支出320.50万元、政府采购工程支出4,670.00万元、政府采购服务支出2,756.72万元。授予中小企业合同金额7,706.09万元，占政府采购支出总额的99.47%。其中，授予小微企业合同金额178.95万元，占政府采购支出总额的2.31%。</w:t>
      </w:r>
    </w:p>
    <w:p>
      <w:pPr>
        <w:spacing w:line="600" w:lineRule="atLeast"/>
        <w:ind w:firstLine="640"/>
        <w:jc w:val="both"/>
      </w:pPr>
      <w:r>
        <w:rPr>
          <w:rStyle w:val="7"/>
          <w:rFonts w:hint="eastAsia" w:ascii="仿宋" w:hAnsi="仿宋" w:eastAsia="仿宋" w:cs="Arial"/>
          <w:sz w:val="32"/>
          <w:szCs w:val="32"/>
        </w:rPr>
        <w:t>3.国有资产占有使用情况。</w:t>
      </w:r>
    </w:p>
    <w:p>
      <w:pPr>
        <w:spacing w:line="600" w:lineRule="atLeast"/>
        <w:ind w:firstLine="640"/>
        <w:jc w:val="both"/>
      </w:pPr>
      <w:r>
        <w:rPr>
          <w:rFonts w:hint="eastAsia" w:ascii="仿宋" w:hAnsi="仿宋" w:eastAsia="仿宋"/>
          <w:sz w:val="32"/>
          <w:szCs w:val="32"/>
        </w:rPr>
        <w:t>截至</w:t>
      </w:r>
      <w:r>
        <w:rPr>
          <w:rFonts w:hint="eastAsia" w:ascii="仿宋" w:hAnsi="仿宋" w:eastAsia="仿宋" w:cs="Arial"/>
          <w:sz w:val="32"/>
          <w:szCs w:val="32"/>
        </w:rPr>
        <w:t>2019年12月31日，</w:t>
      </w:r>
      <w:r>
        <w:rPr>
          <w:rFonts w:hint="eastAsia" w:ascii="仿宋" w:hAnsi="仿宋" w:eastAsia="仿宋"/>
          <w:sz w:val="32"/>
          <w:szCs w:val="32"/>
        </w:rPr>
        <w:t>温州市鹿城区综合行政执法局本级及所属各单位共有车辆</w:t>
      </w:r>
      <w:r>
        <w:rPr>
          <w:rFonts w:hint="eastAsia" w:ascii="仿宋" w:hAnsi="仿宋" w:eastAsia="仿宋" w:cs="Arial"/>
          <w:sz w:val="32"/>
          <w:szCs w:val="32"/>
        </w:rPr>
        <w:t>376辆，其中，副部（省）级及以上领导用车0辆、主要领导干部用车0辆、机要通信用车0辆、应急保障用车0辆、执法执勤用车31辆、特种专业技术用车223辆、离退休干部用车0辆、其他用车122辆,其他用车主要是</w:t>
      </w:r>
      <w:r>
        <w:rPr>
          <w:rFonts w:hint="eastAsia" w:ascii="仿宋" w:hAnsi="仿宋" w:eastAsia="仿宋"/>
          <w:sz w:val="32"/>
          <w:szCs w:val="32"/>
        </w:rPr>
        <w:t>执法用电瓶车。单价</w:t>
      </w:r>
      <w:r>
        <w:rPr>
          <w:rFonts w:hint="eastAsia" w:ascii="仿宋" w:hAnsi="仿宋" w:eastAsia="仿宋" w:cs="Arial"/>
          <w:sz w:val="32"/>
          <w:szCs w:val="32"/>
        </w:rPr>
        <w:t xml:space="preserve">50万元以上通用设备0台（套），单价100万元以上专用设备0台（套）。 </w:t>
      </w:r>
    </w:p>
    <w:p>
      <w:pPr>
        <w:spacing w:line="600" w:lineRule="atLeast"/>
        <w:ind w:firstLine="640"/>
        <w:jc w:val="both"/>
      </w:pPr>
      <w:r>
        <w:rPr>
          <w:rStyle w:val="7"/>
          <w:rFonts w:hint="eastAsia" w:ascii="黑体" w:hAnsi="黑体" w:eastAsia="黑体"/>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1.财政拨款收入：指本级财政部门当年拨付的财政预算资金，包括一般公共预算财政拨款和政府性基金预算财政拨款。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4.上级补助收入：指事业单位从主管部门和上级单位取得的非财政补助收入。</w:t>
      </w:r>
    </w:p>
    <w:p>
      <w:pPr>
        <w:spacing w:line="600" w:lineRule="atLeast"/>
        <w:ind w:firstLine="640"/>
        <w:jc w:val="both"/>
      </w:pPr>
      <w:r>
        <w:rPr>
          <w:rFonts w:hint="eastAsia" w:ascii="仿宋" w:hAnsi="仿宋" w:eastAsia="仿宋" w:cs="Arial"/>
          <w:sz w:val="32"/>
          <w:szCs w:val="32"/>
        </w:rPr>
        <w:t>5.附属单位上缴收入：指事业单位附属独立核算单位按照有关规定上缴的收入。</w:t>
      </w:r>
    </w:p>
    <w:p>
      <w:pPr>
        <w:spacing w:line="600" w:lineRule="atLeast"/>
        <w:ind w:firstLine="640"/>
        <w:jc w:val="both"/>
      </w:pPr>
      <w:r>
        <w:rPr>
          <w:rFonts w:hint="eastAsia" w:ascii="仿宋" w:hAnsi="仿宋" w:eastAsia="仿宋" w:cs="Arial"/>
          <w:sz w:val="32"/>
          <w:szCs w:val="32"/>
        </w:rPr>
        <w:t>6.其他收入：指预算单位在“财政拨款”、“事业收入”、“经营收入”、“上级补助收入”、“附属单位上缴收入”等之外取得的各项收入。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7.用事业基金弥补收支差额：指事业单位动用非财政拨款结余弥补收支差额的金额。</w:t>
      </w:r>
    </w:p>
    <w:p>
      <w:pPr>
        <w:spacing w:line="600" w:lineRule="atLeast"/>
        <w:ind w:firstLine="640"/>
        <w:jc w:val="both"/>
      </w:pPr>
      <w:r>
        <w:rPr>
          <w:rFonts w:hint="eastAsia" w:ascii="仿宋" w:hAnsi="仿宋" w:eastAsia="仿宋" w:cs="Arial"/>
          <w:sz w:val="32"/>
          <w:szCs w:val="32"/>
        </w:rPr>
        <w:t>8.年初结转和结余：指预算单位以前年度尚未完成、结转到本年仍按原规定用途继续使用的资金。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9.年末结转和结余：指单位按有关规定结转到下年或以后年度继续使用的资金。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10.基本支出：指预算单位为保障其正常运转，完成日常工作任务所发生的支出，包括人员经费支出和日常公用经费支出。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11.项目支出：指预算单位为完成其特定的行政工作任务或事业发展目标所发生的支出。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12.经营支出：指事业单位在专业业务活动及其辅助活动之外开展非独立核算经营活动发生的支出。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rPr>
          <w:rFonts w:eastAsia="仿宋"/>
        </w:rPr>
      </w:pPr>
      <w:r>
        <w:rPr>
          <w:rFonts w:hint="eastAsia" w:ascii="仿宋" w:hAnsi="仿宋" w:eastAsia="仿宋" w:cs="Arial"/>
          <w:sz w:val="32"/>
          <w:szCs w:val="32"/>
        </w:rPr>
        <w:t>15.</w:t>
      </w:r>
      <w:r>
        <w:rPr>
          <w:rFonts w:hint="eastAsia" w:ascii="仿宋" w:hAnsi="仿宋" w:eastAsia="仿宋"/>
          <w:sz w:val="32"/>
          <w:szCs w:val="32"/>
        </w:rPr>
        <w:t>公共安全支出（类）公安（款）其他公安支出（项）：反映除上述项目以外其他用于公安方面的支出</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16.</w:t>
      </w:r>
      <w:r>
        <w:rPr>
          <w:rFonts w:hint="eastAsia" w:ascii="仿宋" w:hAnsi="仿宋" w:eastAsia="仿宋"/>
          <w:sz w:val="32"/>
          <w:szCs w:val="32"/>
        </w:rPr>
        <w:t>科学技术支出（类）其他科学技术支出（款）其他科学技术支出（项）：反映其他科学技术支出中除以上各项外用于科技方面的支出</w:t>
      </w:r>
    </w:p>
    <w:p>
      <w:pPr>
        <w:spacing w:line="600" w:lineRule="atLeast"/>
        <w:ind w:firstLine="640"/>
        <w:jc w:val="both"/>
        <w:rPr>
          <w:rFonts w:ascii="仿宋" w:hAnsi="仿宋" w:eastAsia="仿宋" w:cs="Arial"/>
          <w:sz w:val="32"/>
          <w:szCs w:val="32"/>
        </w:rPr>
      </w:pPr>
      <w:r>
        <w:rPr>
          <w:rFonts w:hint="eastAsia" w:ascii="仿宋" w:hAnsi="仿宋" w:eastAsia="仿宋"/>
          <w:sz w:val="32"/>
          <w:szCs w:val="32"/>
        </w:rPr>
        <w:t>17、社会保障和就业支出（类）行政事业单位离退休（款）事业单位离退休（项）：反映实行归口管理的事业开支的离退休经费。</w:t>
      </w:r>
    </w:p>
    <w:p>
      <w:pPr>
        <w:spacing w:line="600" w:lineRule="atLeast"/>
        <w:ind w:firstLine="640"/>
        <w:jc w:val="both"/>
        <w:rPr>
          <w:rFonts w:ascii="仿宋" w:hAnsi="仿宋" w:eastAsia="仿宋"/>
          <w:sz w:val="32"/>
          <w:szCs w:val="32"/>
        </w:rPr>
      </w:pPr>
      <w:r>
        <w:rPr>
          <w:rFonts w:hint="eastAsia" w:ascii="仿宋" w:hAnsi="仿宋" w:eastAsia="仿宋" w:cs="Arial"/>
          <w:sz w:val="32"/>
          <w:szCs w:val="32"/>
        </w:rPr>
        <w:t>18</w:t>
      </w:r>
      <w:r>
        <w:rPr>
          <w:rFonts w:hint="eastAsia" w:ascii="仿宋" w:hAnsi="仿宋" w:eastAsia="仿宋"/>
          <w:sz w:val="32"/>
          <w:szCs w:val="32"/>
        </w:rPr>
        <w:t>、社会保障和就业支出（类）行政事业单位离退休（款）未归口管理的行政单位离退休（项）：反映未实行归口管理的行政单位（包括实行公务员管理的事业单位）开支的离退休支出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19、社会保障和就业支出（类）行政事业单位离退休（款）机关事业单位基本养老保险缴费支出（项）：反映机关事业单位实施养老保险制度由单位缴纳的基本养老保险费支出。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20、社会保障和就业支出（类）行政事业单位离退休（款）机关事业单位职业年金缴费支出（项）：反映机关事业单位实施养老保险制度由单位实际缴纳的职业年金支出。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21、卫生健康支出（类）行政事业单位医疗（款）行政单位医疗（项）：反映财政部门安排的行政单位（包括实行公务员管理的事业单位）基本医疗保险缴费经费、未参加医疗保险的行政单位的公费医疗经费，按国家规定享受离休人员、红军老战士待遇人员的医疗经费。</w:t>
      </w:r>
    </w:p>
    <w:p>
      <w:pPr>
        <w:spacing w:line="600" w:lineRule="atLeast"/>
        <w:ind w:firstLine="640"/>
        <w:jc w:val="both"/>
        <w:rPr>
          <w:rFonts w:ascii="仿宋" w:hAnsi="仿宋" w:eastAsia="仿宋"/>
          <w:sz w:val="32"/>
          <w:szCs w:val="32"/>
        </w:rPr>
      </w:pPr>
      <w:r>
        <w:rPr>
          <w:rFonts w:hint="eastAsia" w:ascii="仿宋" w:hAnsi="仿宋" w:eastAsia="仿宋"/>
          <w:sz w:val="32"/>
          <w:szCs w:val="32"/>
        </w:rPr>
        <w:t>22、卫生健康支出（类）行政事业单位医疗（款）事业单位医疗（项）：反映财政部门安排的事业单位基本医疗保险缴费经费，未参加医疗保险的事业单位的公费医疗经费，按国家规定享受离休人员待遇的医疗经费。</w:t>
      </w:r>
    </w:p>
    <w:p>
      <w:pPr>
        <w:spacing w:line="600" w:lineRule="atLeast"/>
        <w:ind w:firstLine="640" w:firstLineChars="200"/>
        <w:jc w:val="both"/>
        <w:rPr>
          <w:rFonts w:ascii="仿宋" w:hAnsi="仿宋" w:eastAsia="仿宋"/>
          <w:sz w:val="32"/>
          <w:szCs w:val="32"/>
        </w:rPr>
      </w:pPr>
      <w:r>
        <w:rPr>
          <w:rFonts w:hint="eastAsia" w:ascii="仿宋" w:hAnsi="仿宋" w:eastAsia="仿宋"/>
          <w:sz w:val="32"/>
          <w:szCs w:val="32"/>
        </w:rPr>
        <w:t>23、节能环保支出（类）环境保护管理事务（款）其他环境保护管理事务支出：反映其他用于环境保护管理事务方面的支出</w:t>
      </w:r>
    </w:p>
    <w:p>
      <w:pPr>
        <w:spacing w:line="600" w:lineRule="atLeast"/>
        <w:ind w:left="640"/>
        <w:jc w:val="both"/>
        <w:rPr>
          <w:rFonts w:ascii="仿宋" w:hAnsi="仿宋" w:eastAsia="仿宋"/>
          <w:sz w:val="32"/>
          <w:szCs w:val="32"/>
        </w:rPr>
      </w:pPr>
      <w:r>
        <w:rPr>
          <w:rFonts w:hint="eastAsia" w:ascii="仿宋" w:hAnsi="仿宋" w:eastAsia="仿宋"/>
          <w:sz w:val="32"/>
          <w:szCs w:val="32"/>
        </w:rPr>
        <w:t>24、节能环保支出（类）污染防治（款）水体（项）：反映政府在排水、污水处理、水污染防治、湖库生态环境保护、水源地保护、国土江河综合整治、河流治理与保护、地下水修复与保护等方面的支出。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25、城乡社区支出（类）城乡社区管理事务（款）行政运行（项）：反映行政单位（包括实行公务员管理的事业单位）的基本支出。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26、城乡社区支出（类）城乡社区管理事务（款）一般行政管理事务（项）：反映行政单位（包括实行公务员管理的事业单位）未单独设置项级科目的其他项目的支出。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27、城乡社区支出（类）城乡社区管理事务（款）其他城乡社区管理事务支出（项）：反映其他用于城乡社区管理事务方面的支出。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28、城乡社区支出（类）城乡社区公共设施（款）其他城乡社区公共设施支出（项）：反映其他用于城乡社区公共设施方面的支出。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29、城乡社区支出（类）城乡社区环境卫生（款）城乡社区环境卫生（项）：反映城乡社区道路清扫、垃圾清运与处理、公厕建设与维护、园林绿化等方面的支出。</w:t>
      </w:r>
    </w:p>
    <w:p>
      <w:pPr>
        <w:spacing w:line="600" w:lineRule="atLeast"/>
        <w:ind w:firstLine="640" w:firstLineChars="200"/>
        <w:jc w:val="both"/>
        <w:rPr>
          <w:rFonts w:ascii="仿宋" w:hAnsi="仿宋" w:eastAsia="仿宋"/>
          <w:sz w:val="32"/>
          <w:szCs w:val="32"/>
          <w:highlight w:val="yellow"/>
        </w:rPr>
      </w:pPr>
      <w:r>
        <w:rPr>
          <w:rFonts w:hint="eastAsia" w:ascii="仿宋" w:hAnsi="仿宋" w:eastAsia="仿宋"/>
          <w:sz w:val="32"/>
          <w:szCs w:val="32"/>
        </w:rPr>
        <w:t>30、城乡社区支出（类）国有土地使用权出让收入及对应专项债务收入安排的支出（款）征地和拆迁补偿支出（项）：反映新疆生产建设兵团和地方政府在征地和收购土地过程中支付的土地补偿费、安置补助费、地上附着和青苗补偿费、拆迁补偿费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31、城乡社区支出（类）国有土地使用权出让收入及对应专项债务收入安排的支出（款）其他国有土地使用权出让收入安排的支出（项）：反映土地出让收入用于其他方面的支出。不包括市县级政府当年按规定用土地出让收入向中央和省级政府缴纳的新增建设用地土地有偿使用费的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32、城乡社区支出（类）其他城乡社区支出（款）其他城乡社区支出（项）：反映除上述项目以外其他用于城乡社区方面的支出。</w:t>
      </w:r>
    </w:p>
    <w:p>
      <w:pPr>
        <w:spacing w:line="600" w:lineRule="atLeast"/>
        <w:ind w:firstLine="640" w:firstLineChars="200"/>
        <w:jc w:val="both"/>
        <w:rPr>
          <w:rFonts w:ascii="仿宋" w:hAnsi="仿宋" w:eastAsia="仿宋"/>
          <w:sz w:val="32"/>
          <w:szCs w:val="32"/>
        </w:rPr>
      </w:pPr>
      <w:r>
        <w:rPr>
          <w:rFonts w:hint="eastAsia" w:ascii="仿宋" w:hAnsi="仿宋" w:eastAsia="仿宋"/>
          <w:sz w:val="32"/>
          <w:szCs w:val="32"/>
        </w:rPr>
        <w:t>33、住房保障支出（类）住房改革支出（款）住房公积金（项）：反映行政事业单位按人力资源和社会保障部、财政部规定的基本工资和津贴补贴以及规定比例为职工缴纳的住房公积金。</w:t>
      </w:r>
    </w:p>
    <w:p>
      <w:pPr>
        <w:spacing w:line="600" w:lineRule="atLeast"/>
        <w:ind w:firstLine="640"/>
        <w:jc w:val="both"/>
        <w:rPr>
          <w:rFonts w:ascii="仿宋" w:hAnsi="仿宋" w:eastAsia="仿宋"/>
          <w:sz w:val="32"/>
          <w:szCs w:val="32"/>
        </w:rPr>
      </w:pPr>
      <w:r>
        <w:rPr>
          <w:rFonts w:hint="eastAsia" w:ascii="仿宋" w:hAnsi="仿宋" w:eastAsia="仿宋"/>
          <w:sz w:val="32"/>
          <w:szCs w:val="32"/>
        </w:rPr>
        <w:t>34、住房保障支出（类）城乡社区住宅（款）其他城乡社区住宅支出（项）：反映除上述项目以外其他用于城乡社区住宅方面的支出。</w:t>
      </w:r>
    </w:p>
    <w:p>
      <w:pPr>
        <w:spacing w:line="600" w:lineRule="atLeast"/>
        <w:ind w:firstLine="640"/>
        <w:jc w:val="both"/>
        <w:rPr>
          <w:rFonts w:ascii="仿宋" w:hAnsi="仿宋" w:eastAsia="仿宋"/>
          <w:sz w:val="32"/>
          <w:szCs w:val="32"/>
        </w:rPr>
      </w:pPr>
      <w:r>
        <w:rPr>
          <w:rFonts w:hint="eastAsia" w:ascii="仿宋" w:hAnsi="仿宋" w:eastAsia="仿宋"/>
          <w:sz w:val="32"/>
          <w:szCs w:val="32"/>
        </w:rPr>
        <w:t xml:space="preserve"> </w:t>
      </w:r>
    </w:p>
    <w:p/>
    <w:sectPr>
      <w:pgSz w:w="11915" w:h="1685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imSun-ExtB">
    <w:panose1 w:val="02010609060101010101"/>
    <w:charset w:val="86"/>
    <w:family w:val="modern"/>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C6AF"/>
    <w:multiLevelType w:val="singleLevel"/>
    <w:tmpl w:val="22BBC6AF"/>
    <w:lvl w:ilvl="0" w:tentative="0">
      <w:start w:val="2"/>
      <w:numFmt w:val="decimal"/>
      <w:lvlText w:val="%1."/>
      <w:lvlJc w:val="left"/>
      <w:pPr>
        <w:tabs>
          <w:tab w:val="left" w:pos="312"/>
        </w:tabs>
      </w:pPr>
    </w:lvl>
  </w:abstractNum>
  <w:abstractNum w:abstractNumId="1">
    <w:nsid w:val="64D21453"/>
    <w:multiLevelType w:val="singleLevel"/>
    <w:tmpl w:val="64D21453"/>
    <w:lvl w:ilvl="0" w:tentative="0">
      <w:start w:val="3"/>
      <w:numFmt w:val="decimal"/>
      <w:lvlText w:val="%1."/>
      <w:lvlJc w:val="left"/>
      <w:pPr>
        <w:tabs>
          <w:tab w:val="left" w:pos="312"/>
        </w:tabs>
      </w:pPr>
    </w:lvl>
  </w:abstractNum>
  <w:abstractNum w:abstractNumId="2">
    <w:nsid w:val="704544CB"/>
    <w:multiLevelType w:val="multilevel"/>
    <w:tmpl w:val="704544CB"/>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C162234"/>
    <w:multiLevelType w:val="multilevel"/>
    <w:tmpl w:val="7C162234"/>
    <w:lvl w:ilvl="0" w:tentative="0">
      <w:start w:val="1"/>
      <w:numFmt w:val="decimal"/>
      <w:suff w:val="space"/>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72"/>
    <w:rsid w:val="001D7A29"/>
    <w:rsid w:val="00210398"/>
    <w:rsid w:val="00234372"/>
    <w:rsid w:val="002D68B3"/>
    <w:rsid w:val="003437E0"/>
    <w:rsid w:val="003B71F9"/>
    <w:rsid w:val="00404916"/>
    <w:rsid w:val="004E2978"/>
    <w:rsid w:val="008248B5"/>
    <w:rsid w:val="00847130"/>
    <w:rsid w:val="009E1C90"/>
    <w:rsid w:val="00AA7D66"/>
    <w:rsid w:val="00B27EB4"/>
    <w:rsid w:val="00B35298"/>
    <w:rsid w:val="00BD6E4B"/>
    <w:rsid w:val="00D22E68"/>
    <w:rsid w:val="00F54B21"/>
    <w:rsid w:val="1140423C"/>
    <w:rsid w:val="14EB30FF"/>
    <w:rsid w:val="163112AE"/>
    <w:rsid w:val="1BF2137D"/>
    <w:rsid w:val="22CA1054"/>
    <w:rsid w:val="28E02D18"/>
    <w:rsid w:val="347152F9"/>
    <w:rsid w:val="3CC33FAE"/>
    <w:rsid w:val="45334432"/>
    <w:rsid w:val="4AB2419D"/>
    <w:rsid w:val="52B71B0E"/>
    <w:rsid w:val="59805FFD"/>
    <w:rsid w:val="68F2269A"/>
    <w:rsid w:val="69167477"/>
    <w:rsid w:val="691B3A97"/>
    <w:rsid w:val="728C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普通(网站) Char"/>
    <w:basedOn w:val="1"/>
    <w:qFormat/>
    <w:uiPriority w:val="0"/>
    <w:pPr>
      <w:spacing w:before="100" w:beforeAutospacing="1" w:after="100" w:afterAutospacing="1"/>
    </w:pPr>
  </w:style>
  <w:style w:type="character" w:customStyle="1" w:styleId="7">
    <w:name w:val="16"/>
    <w:basedOn w:val="5"/>
    <w:qFormat/>
    <w:uiPriority w:val="0"/>
    <w:rPr>
      <w:rFonts w:hint="default" w:ascii="Times New Roman" w:hAnsi="Times New Roman" w:cs="Times New Roman"/>
      <w:b/>
      <w:bCs/>
    </w:rPr>
  </w:style>
  <w:style w:type="character" w:customStyle="1" w:styleId="8">
    <w:name w:val="页眉 Char"/>
    <w:basedOn w:val="5"/>
    <w:link w:val="3"/>
    <w:semiHidden/>
    <w:qFormat/>
    <w:uiPriority w:val="99"/>
    <w:rPr>
      <w:rFonts w:ascii="宋体" w:hAnsi="宋体" w:eastAsia="宋体" w:cs="宋体"/>
      <w:kern w:val="0"/>
      <w:sz w:val="18"/>
      <w:szCs w:val="18"/>
    </w:rPr>
  </w:style>
  <w:style w:type="character" w:customStyle="1" w:styleId="9">
    <w:name w:val="页脚 Char"/>
    <w:basedOn w:val="5"/>
    <w:link w:val="2"/>
    <w:semiHidden/>
    <w:qFormat/>
    <w:uiPriority w:val="99"/>
    <w:rPr>
      <w:rFonts w:ascii="宋体" w:hAnsi="宋体" w:eastAsia="宋体" w:cs="宋体"/>
      <w:kern w:val="0"/>
      <w:sz w:val="18"/>
      <w:szCs w:val="18"/>
    </w:rPr>
  </w:style>
  <w:style w:type="character" w:customStyle="1" w:styleId="10">
    <w:name w:val="24"/>
    <w:basedOn w:val="5"/>
    <w:qFormat/>
    <w:uiPriority w:val="0"/>
    <w:rPr>
      <w:rFonts w:hint="default" w:ascii="Times New Roman" w:hAnsi="Times New Roman" w:cs="Times New Roman"/>
      <w:b/>
    </w:rPr>
  </w:style>
  <w:style w:type="character" w:customStyle="1" w:styleId="11">
    <w:name w:val="30"/>
    <w:basedOn w:val="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DDA58-B49F-4E95-A829-C70A02F3EF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1368</Words>
  <Characters>7802</Characters>
  <Lines>65</Lines>
  <Paragraphs>18</Paragraphs>
  <TotalTime>1</TotalTime>
  <ScaleCrop>false</ScaleCrop>
  <LinksUpToDate>false</LinksUpToDate>
  <CharactersWithSpaces>9152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2020-08-27T10:03:00Z</dcterms:created>
  <dc:creator>123</dc:creator>
  <cp:lastModifiedBy>Administrator</cp:lastModifiedBy>
  <dcterms:modified xsi:type="dcterms:W3CDTF">2020-11-19T07:31:42Z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