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contextualSpacing w:val="true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 xml:space="preserve">附件</w:t>
      </w:r>
      <w:r>
        <w:rPr>
          <w:rFonts w:ascii="黑体" w:hAnsi="黑体" w:eastAsia="黑体" w:cs="Calibri"/>
          <w:sz w:val="32"/>
          <w:szCs w:val="32"/>
        </w:rPr>
        <w:t xml:space="preserve">7</w:t>
      </w:r>
      <w:r>
        <w:rPr>
          <w:rFonts w:ascii="黑体" w:hAnsi="黑体" w:eastAsia="黑体" w:cs="Calibri"/>
          <w:sz w:val="32"/>
          <w:szCs w:val="32"/>
        </w:rPr>
      </w:r>
    </w:p>
    <w:p>
      <w:pPr>
        <w:pBdr/>
        <w:spacing/>
        <w:ind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 xml:space="preserve">公开选调笔试大纲</w:t>
      </w:r>
      <w:r>
        <w:rPr>
          <w:rFonts w:hint="eastAsia" w:ascii="小标宋" w:hAnsi="小标宋" w:eastAsia="小标宋" w:cs="小标宋"/>
          <w:sz w:val="44"/>
          <w:szCs w:val="44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/>
      <w:bookmarkStart w:id="0" w:name="_GoBack"/>
      <w:r/>
      <w:bookmarkEnd w:id="0"/>
      <w:r/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中华人民共和国企业国有资产法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中华人民共和国公司法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中华人民共和国资产评估法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中华人民共和国合同法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5.</w:t>
      </w:r>
      <w:r>
        <w:rPr>
          <w:rFonts w:hint="eastAsia" w:ascii="仿宋_GB2312" w:eastAsia="仿宋_GB2312"/>
          <w:sz w:val="32"/>
          <w:szCs w:val="32"/>
        </w:rPr>
        <w:t xml:space="preserve">中华人民共和国劳动法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6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企业国有资产监督管理暂行条例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7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中共中央 </w:t>
      </w:r>
      <w:r>
        <w:rPr>
          <w:rFonts w:hint="eastAsia" w:ascii="仿宋_GB2312" w:eastAsia="仿宋_GB2312"/>
          <w:sz w:val="32"/>
          <w:szCs w:val="32"/>
        </w:rPr>
        <w:t xml:space="preserve">国务院关于深化国有企业改革的指导意见(中发〔2015〕</w:t>
      </w:r>
      <w:r>
        <w:rPr>
          <w:rFonts w:hint="eastAsia" w:ascii="仿宋_GB2312" w:eastAsia="仿宋_GB2312"/>
          <w:sz w:val="32"/>
          <w:szCs w:val="32"/>
        </w:rPr>
        <w:t xml:space="preserve">22</w:t>
      </w:r>
      <w:r>
        <w:rPr>
          <w:rFonts w:hint="eastAsia" w:ascii="仿宋_GB2312" w:eastAsia="仿宋_GB2312"/>
          <w:sz w:val="32"/>
          <w:szCs w:val="32"/>
        </w:rPr>
        <w:t xml:space="preserve">号)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8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国务院关于改革和完善国有资产管理体制的若干意见（国发〔2015〕</w:t>
      </w:r>
      <w:r>
        <w:rPr>
          <w:rFonts w:hint="eastAsia" w:ascii="仿宋_GB2312" w:eastAsia="仿宋_GB2312"/>
          <w:sz w:val="32"/>
          <w:szCs w:val="32"/>
        </w:rPr>
        <w:t xml:space="preserve">63</w:t>
      </w:r>
      <w:r>
        <w:rPr>
          <w:rFonts w:hint="eastAsia" w:ascii="仿宋_GB2312" w:eastAsia="仿宋_GB2312"/>
          <w:sz w:val="32"/>
          <w:szCs w:val="32"/>
        </w:rPr>
        <w:t xml:space="preserve">号）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9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企业国有资产交易监督管理办法（国资委、财政部令第32号）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10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企业国有资产产权登记管理办法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11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中华人民共和国政府采购法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12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中华人民共和国政府采购法实施条例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13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中华人民共和国招标投标法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14</w:t>
      </w:r>
      <w:r>
        <w:rPr>
          <w:rFonts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中华人民共和国招标投标法实施条例</w:t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15</w:t>
      </w:r>
      <w:r>
        <w:rPr>
          <w:rFonts w:hint="eastAsia" w:ascii="仿宋_GB2312" w:eastAsia="仿宋_GB2312"/>
          <w:sz w:val="32"/>
          <w:szCs w:val="32"/>
        </w:rPr>
        <w:t xml:space="preserve">.</w:t>
      </w:r>
      <w:r>
        <w:rPr>
          <w:rFonts w:hint="eastAsia" w:ascii="仿宋_GB2312" w:eastAsia="仿宋_GB2312"/>
          <w:sz w:val="32"/>
          <w:szCs w:val="32"/>
        </w:rPr>
        <w:t xml:space="preserve">政府投资条例</w:t>
      </w:r>
      <w:r>
        <w:rPr>
          <w:rFonts w:ascii="仿宋_GB2312" w:eastAsia="仿宋_GB2312"/>
          <w:sz w:val="32"/>
          <w:szCs w:val="32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小标宋">
    <w:panose1 w:val="020B0604020202020204"/>
  </w:font>
  <w:font w:name="黑体">
    <w:panose1 w:val="02010609060101010101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doNotExpandShiftReturn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54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54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54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3"/>
    <w:next w:val="65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4"/>
    <w:link w:val="658"/>
    <w:uiPriority w:val="99"/>
    <w:pPr>
      <w:pBdr/>
      <w:spacing/>
      <w:ind/>
    </w:pPr>
  </w:style>
  <w:style w:type="character" w:styleId="45">
    <w:name w:val="Footer Char"/>
    <w:basedOn w:val="654"/>
    <w:link w:val="660"/>
    <w:uiPriority w:val="99"/>
    <w:pPr>
      <w:pBdr/>
      <w:spacing/>
      <w:ind/>
    </w:pPr>
  </w:style>
  <w:style w:type="paragraph" w:styleId="46">
    <w:name w:val="Caption"/>
    <w:basedOn w:val="653"/>
    <w:next w:val="65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0"/>
    <w:uiPriority w:val="99"/>
    <w:pPr>
      <w:pBdr/>
      <w:spacing/>
      <w:ind/>
    </w:pPr>
  </w:style>
  <w:style w:type="table" w:styleId="48">
    <w:name w:val="Table Grid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3"/>
    <w:next w:val="65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3"/>
    <w:next w:val="65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3"/>
    <w:next w:val="65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3"/>
    <w:next w:val="65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3"/>
    <w:next w:val="65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3"/>
    <w:next w:val="65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3"/>
    <w:next w:val="65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3"/>
    <w:next w:val="65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3"/>
    <w:next w:val="653"/>
    <w:uiPriority w:val="99"/>
    <w:unhideWhenUsed/>
    <w:pPr>
      <w:pBdr/>
      <w:spacing w:after="0" w:afterAutospacing="0"/>
      <w:ind/>
    </w:pPr>
  </w:style>
  <w:style w:type="paragraph" w:styleId="653" w:default="1">
    <w:name w:val="Normal"/>
    <w:qFormat/>
    <w:pPr>
      <w:widowControl w:val="false"/>
      <w:pBdr/>
      <w:spacing/>
      <w:ind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styleId="654" w:default="1">
    <w:name w:val="Default Paragraph Font"/>
    <w:uiPriority w:val="1"/>
    <w:semiHidden/>
    <w:unhideWhenUsed/>
    <w:pPr>
      <w:pBdr/>
      <w:spacing/>
      <w:ind/>
    </w:pPr>
  </w:style>
  <w:style w:type="table" w:styleId="65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6" w:default="1">
    <w:name w:val="No List"/>
    <w:uiPriority w:val="99"/>
    <w:semiHidden/>
    <w:unhideWhenUsed/>
    <w:pPr>
      <w:pBdr/>
      <w:spacing/>
      <w:ind/>
    </w:pPr>
  </w:style>
  <w:style w:type="paragraph" w:styleId="657">
    <w:name w:val="Normal (Web)"/>
    <w:basedOn w:val="653"/>
    <w:uiPriority w:val="99"/>
    <w:semiHidden/>
    <w:unhideWhenUsed/>
    <w:pPr>
      <w:pBdr/>
      <w:spacing w:afterAutospacing="1" w:beforeAutospacing="1"/>
      <w:ind/>
      <w:jc w:val="left"/>
    </w:pPr>
    <w:rPr>
      <w:rFonts w:cs="Times New Roman"/>
      <w:sz w:val="24"/>
    </w:rPr>
  </w:style>
  <w:style w:type="paragraph" w:styleId="658">
    <w:name w:val="Header"/>
    <w:basedOn w:val="653"/>
    <w:link w:val="659"/>
    <w:uiPriority w:val="99"/>
    <w:unhideWhenUsed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59" w:customStyle="1">
    <w:name w:val="页眉 Char"/>
    <w:basedOn w:val="654"/>
    <w:link w:val="658"/>
    <w:uiPriority w:val="99"/>
    <w:pPr>
      <w:pBdr/>
      <w:spacing/>
      <w:ind/>
    </w:pPr>
    <w:rPr>
      <w:rFonts w:asciiTheme="minorHAnsi" w:hAnsiTheme="minorHAnsi" w:eastAsiaTheme="minorEastAsia" w:cstheme="minorBidi"/>
      <w:sz w:val="18"/>
      <w:szCs w:val="18"/>
    </w:rPr>
  </w:style>
  <w:style w:type="paragraph" w:styleId="660">
    <w:name w:val="Footer"/>
    <w:basedOn w:val="653"/>
    <w:link w:val="661"/>
    <w:uiPriority w:val="99"/>
    <w:unhideWhenUsed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character" w:styleId="661" w:customStyle="1">
    <w:name w:val="页脚 Char"/>
    <w:basedOn w:val="654"/>
    <w:link w:val="660"/>
    <w:uiPriority w:val="99"/>
    <w:pPr>
      <w:pBdr/>
      <w:spacing/>
      <w:ind/>
    </w:pPr>
    <w:rPr>
      <w:rFonts w:asciiTheme="minorHAnsi" w:hAnsiTheme="minorHAnsi" w:eastAsiaTheme="minorEastAsia" w:cstheme="minorBid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P R C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匿名</cp:lastModifiedBy>
  <cp:revision>6</cp:revision>
  <dcterms:created xsi:type="dcterms:W3CDTF">2023-07-20T02:35:00Z</dcterms:created>
  <dcterms:modified xsi:type="dcterms:W3CDTF">2024-01-30T10:44:31Z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0781B8709D664F769EBE39CD7DB02099_12</vt:lpwstr>
  </property>
</Properties>
</file>